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1EFA75C3" w:rsidR="00550220" w:rsidRPr="004D053D" w:rsidRDefault="00550220" w:rsidP="00550220">
      <w:pPr>
        <w:pStyle w:val="Date"/>
        <w:spacing w:after="360" w:line="240" w:lineRule="auto"/>
        <w:ind w:left="5823" w:hanging="11"/>
        <w:rPr>
          <w:szCs w:val="24"/>
          <w:lang w:val="en-GB"/>
        </w:rPr>
      </w:pPr>
      <w:r w:rsidRPr="004D053D">
        <w:rPr>
          <w:lang w:val="en-GB"/>
        </w:rPr>
        <w:t xml:space="preserve">Brussels, </w:t>
      </w:r>
      <w:r w:rsidR="001B4B42">
        <w:rPr>
          <w:lang w:val="en-GB"/>
        </w:rPr>
        <w:t>9</w:t>
      </w:r>
      <w:r w:rsidR="004D053D">
        <w:rPr>
          <w:lang w:val="en-GB"/>
        </w:rPr>
        <w:t xml:space="preserve"> </w:t>
      </w:r>
      <w:r w:rsidR="00513A38" w:rsidRPr="004D053D">
        <w:rPr>
          <w:lang w:val="en-GB"/>
        </w:rPr>
        <w:t>November</w:t>
      </w:r>
      <w:r w:rsidRPr="004D053D">
        <w:rPr>
          <w:lang w:val="en-GB"/>
        </w:rPr>
        <w:t xml:space="preserve"> </w:t>
      </w:r>
      <w:r w:rsidRPr="004D053D">
        <w:rPr>
          <w:szCs w:val="24"/>
          <w:lang w:val="en-GB"/>
        </w:rPr>
        <w:t>202</w:t>
      </w:r>
      <w:r w:rsidR="003349DD" w:rsidRPr="004D053D">
        <w:rPr>
          <w:szCs w:val="24"/>
          <w:lang w:val="en-GB"/>
        </w:rPr>
        <w:t>2</w:t>
      </w:r>
    </w:p>
    <w:p w14:paraId="41856871" w14:textId="6E18A8A0" w:rsidR="001B4B42" w:rsidRPr="00073632" w:rsidRDefault="00550220" w:rsidP="001B4B42">
      <w:pPr>
        <w:rPr>
          <w:b/>
        </w:rPr>
      </w:pPr>
      <w:r w:rsidRPr="004D053D">
        <w:rPr>
          <w:b/>
          <w:lang w:val="en-GB"/>
        </w:rPr>
        <w:t>SP(20</w:t>
      </w:r>
      <w:r w:rsidR="000F67B9" w:rsidRPr="004D053D">
        <w:rPr>
          <w:b/>
          <w:lang w:val="en-GB"/>
        </w:rPr>
        <w:t>2</w:t>
      </w:r>
      <w:r w:rsidR="003349DD" w:rsidRPr="004D053D">
        <w:rPr>
          <w:b/>
          <w:lang w:val="en-GB"/>
        </w:rPr>
        <w:t>2</w:t>
      </w:r>
      <w:r w:rsidRPr="004D053D">
        <w:rPr>
          <w:b/>
          <w:lang w:val="en-GB"/>
        </w:rPr>
        <w:t>) </w:t>
      </w:r>
      <w:r w:rsidR="00947C7C" w:rsidRPr="004D053D">
        <w:rPr>
          <w:b/>
          <w:lang w:val="en-GB"/>
        </w:rPr>
        <w:t>623</w:t>
      </w:r>
    </w:p>
    <w:p w14:paraId="26A5E339" w14:textId="597269BA" w:rsidR="00513A38" w:rsidRPr="00073632" w:rsidRDefault="00513A38" w:rsidP="00513A38">
      <w:pPr>
        <w:rPr>
          <w:b/>
        </w:rPr>
      </w:pP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11D2D56E" w:rsidR="00550220" w:rsidRPr="001B4B42" w:rsidRDefault="00661375" w:rsidP="001B4B42">
      <w:pPr>
        <w:pStyle w:val="Subject"/>
        <w:spacing w:after="720"/>
        <w:ind w:left="0" w:right="-28" w:firstLine="0"/>
        <w:jc w:val="center"/>
        <w:rPr>
          <w:rFonts w:ascii="Times New Roman" w:hAnsi="Times New Roman"/>
          <w:sz w:val="44"/>
          <w:u w:val="single"/>
        </w:rPr>
      </w:pPr>
      <w:r w:rsidRPr="001B4B42">
        <w:rPr>
          <w:rFonts w:ascii="Times New Roman" w:hAnsi="Times New Roman"/>
          <w:sz w:val="44"/>
          <w:u w:val="single"/>
        </w:rPr>
        <w:t xml:space="preserve">Replies of the </w:t>
      </w:r>
      <w:r w:rsidR="00550220" w:rsidRPr="001B4B42">
        <w:rPr>
          <w:rFonts w:ascii="Times New Roman" w:hAnsi="Times New Roman"/>
          <w:sz w:val="44"/>
          <w:u w:val="single"/>
        </w:rPr>
        <w:t xml:space="preserve">Commission </w:t>
      </w:r>
      <w:r w:rsidRPr="001B4B42">
        <w:rPr>
          <w:rFonts w:ascii="Times New Roman" w:hAnsi="Times New Roman"/>
          <w:sz w:val="44"/>
          <w:u w:val="single"/>
        </w:rPr>
        <w:t>to</w:t>
      </w:r>
      <w:r w:rsidR="00550220" w:rsidRPr="001B4B42">
        <w:rPr>
          <w:rFonts w:ascii="Times New Roman" w:hAnsi="Times New Roman"/>
          <w:sz w:val="44"/>
          <w:u w:val="single"/>
        </w:rPr>
        <w:t xml:space="preserve"> positions and resolutions adopted by the European Parliament –</w:t>
      </w:r>
      <w:r w:rsidR="008600BB" w:rsidRPr="001B4B42">
        <w:rPr>
          <w:rFonts w:ascii="Times New Roman" w:hAnsi="Times New Roman"/>
          <w:sz w:val="44"/>
          <w:u w:val="single"/>
        </w:rPr>
        <w:t xml:space="preserve"> </w:t>
      </w:r>
      <w:r w:rsidR="000F6B0B" w:rsidRPr="001B4B42">
        <w:rPr>
          <w:rFonts w:ascii="Times New Roman" w:hAnsi="Times New Roman"/>
          <w:sz w:val="44"/>
          <w:u w:val="single"/>
        </w:rPr>
        <w:t>October I</w:t>
      </w:r>
      <w:r w:rsidR="00550220" w:rsidRPr="001B4B42">
        <w:rPr>
          <w:rFonts w:ascii="Times New Roman" w:hAnsi="Times New Roman"/>
          <w:sz w:val="44"/>
          <w:u w:val="single"/>
        </w:rPr>
        <w:t xml:space="preserve"> part-session</w:t>
      </w:r>
    </w:p>
    <w:p w14:paraId="7883C972" w14:textId="73ED951F"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0F6B0B">
        <w:rPr>
          <w:b/>
          <w:sz w:val="22"/>
          <w:lang w:val="en-GB"/>
        </w:rPr>
        <w:t>OCTOBER I</w:t>
      </w:r>
      <w:r w:rsidR="002041F5">
        <w:rPr>
          <w:b/>
          <w:sz w:val="22"/>
          <w:lang w:val="en-GB"/>
        </w:rPr>
        <w:t xml:space="preserve"> </w:t>
      </w:r>
      <w:r w:rsidR="00AF05BB">
        <w:rPr>
          <w:b/>
          <w:sz w:val="22"/>
          <w:lang w:val="en-GB"/>
        </w:rPr>
        <w:t>202</w:t>
      </w:r>
      <w:r w:rsidR="003349DD">
        <w:rPr>
          <w:b/>
          <w:sz w:val="22"/>
          <w:lang w:val="en-GB"/>
        </w:rPr>
        <w:t>2</w:t>
      </w:r>
      <w:r w:rsidRPr="00EE64E6">
        <w:rPr>
          <w:b/>
          <w:sz w:val="22"/>
          <w:lang w:val="en-GB"/>
        </w:rPr>
        <w:t xml:space="preserve"> PART-SESSION.</w:t>
      </w:r>
    </w:p>
    <w:p w14:paraId="72D41285" w14:textId="252A2B32"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PARLIAMENT DURING THE SAME PART-SESSION,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E407EF"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64FF2265" w14:textId="328499F9" w:rsidR="00E77CCF" w:rsidRDefault="00E407EF" w:rsidP="00E77CCF">
      <w:pPr>
        <w:spacing w:before="360" w:after="360" w:line="240" w:lineRule="auto"/>
        <w:ind w:left="720"/>
        <w:rPr>
          <w:rStyle w:val="Hyperlink"/>
          <w:b/>
          <w:smallCaps/>
          <w:lang w:val="en-GB"/>
        </w:rPr>
      </w:pPr>
      <w:hyperlink w:anchor="OLP" w:history="1">
        <w:r w:rsidR="00E77CCF" w:rsidRPr="000749BB">
          <w:rPr>
            <w:rStyle w:val="Hyperlink"/>
            <w:b/>
            <w:smallCaps/>
            <w:lang w:val="en-GB"/>
          </w:rPr>
          <w:t xml:space="preserve">Ordinary legislative procedure </w:t>
        </w:r>
        <w:r w:rsidR="00E77CCF" w:rsidRPr="000749BB">
          <w:rPr>
            <w:rStyle w:val="Hyperlink"/>
            <w:szCs w:val="24"/>
            <w:lang w:val="en-GB"/>
          </w:rPr>
          <w:t>–</w:t>
        </w:r>
        <w:r w:rsidR="00E77CCF" w:rsidRPr="000749BB">
          <w:rPr>
            <w:rStyle w:val="Hyperlink"/>
            <w:b/>
            <w:smallCaps/>
            <w:lang w:val="en-GB"/>
          </w:rPr>
          <w:t xml:space="preserve"> First reading</w:t>
        </w:r>
      </w:hyperlink>
    </w:p>
    <w:p w14:paraId="2413B64F" w14:textId="16F27700" w:rsidR="00E77CCF" w:rsidRPr="008E5CDC" w:rsidRDefault="00E407EF" w:rsidP="00652260">
      <w:pPr>
        <w:pStyle w:val="ListParagraph"/>
        <w:numPr>
          <w:ilvl w:val="0"/>
          <w:numId w:val="40"/>
        </w:numPr>
        <w:spacing w:before="120" w:after="120" w:line="240" w:lineRule="auto"/>
        <w:ind w:left="1434" w:hanging="357"/>
        <w:contextualSpacing w:val="0"/>
        <w:jc w:val="both"/>
        <w:rPr>
          <w:lang w:val="en-GB"/>
        </w:rPr>
      </w:pPr>
      <w:hyperlink w:anchor="ECDC" w:history="1">
        <w:r w:rsidR="008E5CDC" w:rsidRPr="008E5CDC">
          <w:rPr>
            <w:rStyle w:val="Hyperlink"/>
            <w:bCs/>
            <w:lang w:val="en-GB"/>
          </w:rPr>
          <w:t>European Centre for disease prevention and control</w:t>
        </w:r>
      </w:hyperlink>
    </w:p>
    <w:p w14:paraId="15D0C3ED" w14:textId="21D9CA25" w:rsidR="008E5CDC" w:rsidRPr="008E5CDC" w:rsidRDefault="00E407EF" w:rsidP="00652260">
      <w:pPr>
        <w:pStyle w:val="ListParagraph"/>
        <w:numPr>
          <w:ilvl w:val="0"/>
          <w:numId w:val="40"/>
        </w:numPr>
        <w:spacing w:before="120" w:after="120" w:line="240" w:lineRule="auto"/>
        <w:ind w:left="1434" w:hanging="357"/>
        <w:contextualSpacing w:val="0"/>
        <w:jc w:val="both"/>
        <w:rPr>
          <w:lang w:val="en-GB"/>
        </w:rPr>
      </w:pPr>
      <w:hyperlink w:anchor="serious" w:history="1">
        <w:r w:rsidR="008E5CDC" w:rsidRPr="008E5CDC">
          <w:rPr>
            <w:rStyle w:val="Hyperlink"/>
            <w:bCs/>
            <w:lang w:val="en-GB"/>
          </w:rPr>
          <w:t>Serious cross-border threats to health</w:t>
        </w:r>
      </w:hyperlink>
    </w:p>
    <w:p w14:paraId="3B2CB141" w14:textId="50000D40" w:rsidR="008E5CDC" w:rsidRPr="00E86496" w:rsidRDefault="00E407EF" w:rsidP="00652260">
      <w:pPr>
        <w:pStyle w:val="ListParagraph"/>
        <w:numPr>
          <w:ilvl w:val="0"/>
          <w:numId w:val="40"/>
        </w:numPr>
        <w:spacing w:before="120" w:after="120" w:line="240" w:lineRule="auto"/>
        <w:ind w:left="1434" w:hanging="357"/>
        <w:contextualSpacing w:val="0"/>
        <w:jc w:val="both"/>
        <w:rPr>
          <w:lang w:val="en-GB"/>
        </w:rPr>
      </w:pPr>
      <w:hyperlink w:anchor="IOCT" w:history="1">
        <w:r w:rsidR="008E5CDC" w:rsidRPr="008E5CDC">
          <w:rPr>
            <w:rStyle w:val="Hyperlink"/>
            <w:bCs/>
            <w:lang w:val="en-GB"/>
          </w:rPr>
          <w:t>Management, conservation and control measures applicable in the Indian Ocean Tuna Commission (IOTC) Area of Competence</w:t>
        </w:r>
      </w:hyperlink>
    </w:p>
    <w:p w14:paraId="2D093D59" w14:textId="75DBAE85" w:rsidR="00E86496" w:rsidRPr="00CE4EF1" w:rsidRDefault="00E407EF" w:rsidP="00652260">
      <w:pPr>
        <w:pStyle w:val="ListParagraph"/>
        <w:numPr>
          <w:ilvl w:val="0"/>
          <w:numId w:val="40"/>
        </w:numPr>
        <w:spacing w:before="120" w:after="120" w:line="240" w:lineRule="auto"/>
        <w:ind w:left="1434" w:hanging="357"/>
        <w:contextualSpacing w:val="0"/>
        <w:jc w:val="both"/>
        <w:rPr>
          <w:lang w:val="en-GB"/>
        </w:rPr>
      </w:pPr>
      <w:hyperlink w:anchor="radio" w:history="1">
        <w:r w:rsidR="00CE4EF1" w:rsidRPr="00CE4EF1">
          <w:rPr>
            <w:rStyle w:val="Hyperlink"/>
            <w:bCs/>
            <w:lang w:val="en-GB"/>
          </w:rPr>
          <w:t>Harmonisation of the laws of the Member States relating to the making available on the market of radio equipment</w:t>
        </w:r>
      </w:hyperlink>
    </w:p>
    <w:p w14:paraId="07C32024" w14:textId="500AB956" w:rsidR="00CE4EF1" w:rsidRPr="00CE4EF1" w:rsidRDefault="00E407EF" w:rsidP="00652260">
      <w:pPr>
        <w:pStyle w:val="ListParagraph"/>
        <w:numPr>
          <w:ilvl w:val="0"/>
          <w:numId w:val="40"/>
        </w:numPr>
        <w:spacing w:before="120" w:after="120" w:line="240" w:lineRule="auto"/>
        <w:ind w:left="1434" w:hanging="357"/>
        <w:contextualSpacing w:val="0"/>
        <w:jc w:val="both"/>
        <w:rPr>
          <w:lang w:val="en-GB"/>
        </w:rPr>
      </w:pPr>
      <w:hyperlink w:anchor="window" w:history="1">
        <w:r w:rsidR="00CE4EF1" w:rsidRPr="00CE4EF1">
          <w:rPr>
            <w:rStyle w:val="Hyperlink"/>
            <w:bCs/>
            <w:lang w:val="en-GB"/>
          </w:rPr>
          <w:t>Single Window Environment for Customs</w:t>
        </w:r>
      </w:hyperlink>
    </w:p>
    <w:p w14:paraId="4675081C" w14:textId="62DAA2C6" w:rsidR="00CE4EF1" w:rsidRPr="00652260" w:rsidRDefault="00E407EF" w:rsidP="00652260">
      <w:pPr>
        <w:pStyle w:val="ListParagraph"/>
        <w:numPr>
          <w:ilvl w:val="0"/>
          <w:numId w:val="40"/>
        </w:numPr>
        <w:spacing w:before="120" w:after="120" w:line="240" w:lineRule="auto"/>
        <w:ind w:left="1434" w:hanging="357"/>
        <w:contextualSpacing w:val="0"/>
        <w:jc w:val="both"/>
        <w:rPr>
          <w:lang w:val="en-GB"/>
        </w:rPr>
      </w:pPr>
      <w:hyperlink w:anchor="SAIO" w:history="1">
        <w:r w:rsidR="00CE4EF1" w:rsidRPr="00CE4EF1">
          <w:rPr>
            <w:rStyle w:val="Hyperlink"/>
            <w:bCs/>
            <w:lang w:val="en-GB"/>
          </w:rPr>
          <w:t>Statistics on agricultural input and output</w:t>
        </w:r>
      </w:hyperlink>
    </w:p>
    <w:p w14:paraId="78A362C3" w14:textId="124283E7" w:rsidR="00652260" w:rsidRPr="00652260" w:rsidRDefault="00E407EF" w:rsidP="00652260">
      <w:pPr>
        <w:pStyle w:val="ListParagraph"/>
        <w:numPr>
          <w:ilvl w:val="0"/>
          <w:numId w:val="40"/>
        </w:numPr>
        <w:spacing w:before="120" w:after="120" w:line="240" w:lineRule="auto"/>
        <w:ind w:left="1434" w:hanging="357"/>
        <w:contextualSpacing w:val="0"/>
        <w:jc w:val="both"/>
        <w:rPr>
          <w:lang w:val="en-GB"/>
        </w:rPr>
      </w:pPr>
      <w:hyperlink w:anchor="POPS" w:history="1">
        <w:r w:rsidR="00652260" w:rsidRPr="00652260">
          <w:rPr>
            <w:rStyle w:val="Hyperlink"/>
            <w:bCs/>
            <w:lang w:val="en-GB"/>
          </w:rPr>
          <w:t>Persistent organic pollutants</w:t>
        </w:r>
      </w:hyperlink>
    </w:p>
    <w:p w14:paraId="1CCAEBD8" w14:textId="5C76E040" w:rsidR="00652260" w:rsidRPr="00652260" w:rsidRDefault="00E407EF" w:rsidP="00652260">
      <w:pPr>
        <w:pStyle w:val="ListParagraph"/>
        <w:numPr>
          <w:ilvl w:val="0"/>
          <w:numId w:val="40"/>
        </w:numPr>
        <w:spacing w:before="120" w:after="120" w:line="240" w:lineRule="auto"/>
        <w:ind w:left="1434" w:hanging="357"/>
        <w:contextualSpacing w:val="0"/>
        <w:jc w:val="both"/>
        <w:rPr>
          <w:lang w:val="en-GB"/>
        </w:rPr>
      </w:pPr>
      <w:hyperlink w:anchor="Slots" w:history="1">
        <w:r w:rsidR="00652260" w:rsidRPr="00652260">
          <w:rPr>
            <w:rStyle w:val="Hyperlink"/>
            <w:bCs/>
            <w:lang w:val="en-GB"/>
          </w:rPr>
          <w:t>Temporary relief from the slot utilisation rules at Community airports due to the COVID-19 pandemic</w:t>
        </w:r>
      </w:hyperlink>
    </w:p>
    <w:p w14:paraId="20EEE92F" w14:textId="398F8571" w:rsidR="00E77CCF" w:rsidRPr="00E77CCF" w:rsidRDefault="00E407EF"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067AAD36" w14:textId="77777777" w:rsidR="008E5CDC" w:rsidRPr="00FC0CF0" w:rsidRDefault="008E5CDC" w:rsidP="008E5CDC">
      <w:pPr>
        <w:spacing w:after="240" w:line="240" w:lineRule="auto"/>
        <w:jc w:val="center"/>
        <w:rPr>
          <w:lang w:val="en-GB"/>
        </w:rPr>
      </w:pPr>
      <w:bookmarkStart w:id="1" w:name="FADO"/>
      <w:r w:rsidRPr="00FC0CF0">
        <w:rPr>
          <w:b/>
          <w:lang w:val="en-GB"/>
        </w:rPr>
        <w:t xml:space="preserve">ORDINARY LEGISLATIVE </w:t>
      </w:r>
      <w:r w:rsidRPr="00FC0CF0">
        <w:rPr>
          <w:b/>
          <w:caps/>
          <w:lang w:val="en-GB"/>
        </w:rPr>
        <w:t>procedure</w:t>
      </w:r>
      <w:r w:rsidRPr="00FC0CF0">
        <w:rPr>
          <w:b/>
          <w:lang w:val="en-GB"/>
        </w:rPr>
        <w:t xml:space="preserve"> – First reading</w:t>
      </w:r>
    </w:p>
    <w:p w14:paraId="2B53A66B" w14:textId="77777777" w:rsidR="008E5CDC" w:rsidRPr="00D824A0" w:rsidRDefault="008E5CDC" w:rsidP="008E5CDC">
      <w:pPr>
        <w:spacing w:after="600"/>
        <w:jc w:val="center"/>
        <w:rPr>
          <w:b/>
          <w:bCs/>
          <w:lang w:val="en-GB"/>
        </w:rPr>
      </w:pPr>
      <w:bookmarkStart w:id="2" w:name="ECDC"/>
      <w:bookmarkEnd w:id="1"/>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D824A0">
        <w:rPr>
          <w:b/>
          <w:bCs/>
          <w:lang w:val="en-GB"/>
        </w:rPr>
        <w:t>on the proposal for a regulation of the European Parliament and of the Council amending Regulation (EC) No 851/2004 establishing a European Centre for disease prevention and control</w:t>
      </w:r>
      <w:bookmarkEnd w:id="2"/>
    </w:p>
    <w:p w14:paraId="43241A62" w14:textId="77777777" w:rsidR="008E5CDC" w:rsidRPr="001B4B42" w:rsidRDefault="008E5CDC" w:rsidP="008E5CDC">
      <w:pPr>
        <w:spacing w:after="240"/>
        <w:ind w:left="567" w:hanging="567"/>
        <w:jc w:val="both"/>
        <w:rPr>
          <w:szCs w:val="24"/>
          <w:lang w:val="en-GB"/>
        </w:rPr>
      </w:pPr>
      <w:r w:rsidRPr="001B4B42">
        <w:rPr>
          <w:b/>
          <w:lang w:val="en-GB"/>
        </w:rPr>
        <w:t>1.</w:t>
      </w:r>
      <w:r w:rsidRPr="001B4B42">
        <w:rPr>
          <w:b/>
          <w:lang w:val="en-GB"/>
        </w:rPr>
        <w:tab/>
        <w:t xml:space="preserve">Rapporteur: </w:t>
      </w:r>
      <w:r w:rsidRPr="001B4B42">
        <w:rPr>
          <w:noProof/>
          <w:szCs w:val="24"/>
          <w:lang w:val="en-GB"/>
        </w:rPr>
        <w:t xml:space="preserve">Joanna KOPCIŃSKA </w:t>
      </w:r>
      <w:r w:rsidRPr="001B4B42">
        <w:rPr>
          <w:color w:val="1E1E1F"/>
          <w:szCs w:val="24"/>
          <w:lang w:val="en-GB"/>
        </w:rPr>
        <w:t>(ECR / PL)</w:t>
      </w:r>
    </w:p>
    <w:p w14:paraId="5B14EE54" w14:textId="77777777" w:rsidR="008E5CDC" w:rsidRPr="00F42D18" w:rsidRDefault="008E5CDC" w:rsidP="008E5CDC">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20</w:t>
      </w:r>
      <w:r w:rsidRPr="00AC338E">
        <w:rPr>
          <w:lang w:val="en-GB"/>
        </w:rPr>
        <w:t>/0</w:t>
      </w:r>
      <w:r>
        <w:rPr>
          <w:lang w:val="en-GB"/>
        </w:rPr>
        <w:t>320</w:t>
      </w:r>
      <w:r w:rsidRPr="00AC338E">
        <w:rPr>
          <w:lang w:val="en-GB"/>
        </w:rPr>
        <w:t xml:space="preserve"> (COD) </w:t>
      </w:r>
      <w:r w:rsidRPr="006957A3">
        <w:rPr>
          <w:lang w:val="en-GB"/>
        </w:rPr>
        <w:t xml:space="preserve">/ </w:t>
      </w:r>
      <w:r>
        <w:rPr>
          <w:lang w:val="en-GB"/>
        </w:rPr>
        <w:t>A9-0253/2021 / P9_TA</w:t>
      </w:r>
      <w:r w:rsidRPr="006957A3">
        <w:rPr>
          <w:lang w:val="en-GB"/>
        </w:rPr>
        <w:t>(2022)0</w:t>
      </w:r>
      <w:r>
        <w:rPr>
          <w:lang w:val="en-GB"/>
        </w:rPr>
        <w:t>332</w:t>
      </w:r>
    </w:p>
    <w:p w14:paraId="4D07E65B" w14:textId="77777777" w:rsidR="008E5CDC" w:rsidRPr="00FC0CF0" w:rsidRDefault="008E5CDC" w:rsidP="008E5CDC">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4 October </w:t>
      </w:r>
      <w:r w:rsidRPr="007859CD">
        <w:rPr>
          <w:lang w:val="en-GB"/>
        </w:rPr>
        <w:t>202</w:t>
      </w:r>
      <w:r>
        <w:rPr>
          <w:lang w:val="en-GB"/>
        </w:rPr>
        <w:t>2</w:t>
      </w:r>
    </w:p>
    <w:p w14:paraId="431D02BB" w14:textId="77777777" w:rsidR="008E5CDC" w:rsidRPr="00FD5BA5" w:rsidRDefault="008E5CDC" w:rsidP="008E5CDC">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 xml:space="preserve">Article </w:t>
      </w:r>
      <w:r>
        <w:rPr>
          <w:szCs w:val="24"/>
          <w:lang w:val="en-GB"/>
        </w:rPr>
        <w:t>168</w:t>
      </w:r>
      <w:r w:rsidRPr="0036264F">
        <w:rPr>
          <w:szCs w:val="24"/>
          <w:lang w:val="en-GB"/>
        </w:rPr>
        <w:t>(</w:t>
      </w:r>
      <w:r>
        <w:rPr>
          <w:szCs w:val="24"/>
          <w:lang w:val="en-GB"/>
        </w:rPr>
        <w:t>5</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4AFE9953" w14:textId="77777777" w:rsidR="008E5CDC" w:rsidRPr="00FC0CF0" w:rsidRDefault="008E5CDC" w:rsidP="008E5CDC">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Environment, Public Health and Food Safety (ENVI)</w:t>
      </w:r>
    </w:p>
    <w:p w14:paraId="244CD361" w14:textId="17ED5FCB" w:rsidR="008E5CDC" w:rsidRDefault="008E5CDC" w:rsidP="008E5CDC">
      <w:pPr>
        <w:spacing w:after="24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DD6C54">
        <w:rPr>
          <w:color w:val="000000"/>
          <w:szCs w:val="24"/>
          <w:lang w:val="en-GB"/>
        </w:rPr>
        <w:t xml:space="preserve"> The Commission presented the following statement</w:t>
      </w:r>
    </w:p>
    <w:p w14:paraId="184F3D6F" w14:textId="77777777" w:rsidR="00DD6C54" w:rsidRPr="00DD6C54" w:rsidRDefault="00DD6C54" w:rsidP="00DD6C54">
      <w:pPr>
        <w:spacing w:after="120" w:line="240" w:lineRule="auto"/>
        <w:jc w:val="both"/>
        <w:rPr>
          <w:iCs/>
          <w:lang w:val="en-GB"/>
        </w:rPr>
      </w:pPr>
      <w:r w:rsidRPr="00DD6C54">
        <w:rPr>
          <w:iCs/>
          <w:lang w:val="en-GB"/>
        </w:rPr>
        <w:t>“The Commission welcomes the overall agreement reached by the co-legislators on the proposal for a Regulation on the extension of the mandate of the European Centre for Disease Prevention and Control.  The new Regulation will reinforce the capacity of the Centre to support the EU and its Member States in the prevention and control of communicable disease threats and improve European preparedness for future health challenges.</w:t>
      </w:r>
    </w:p>
    <w:p w14:paraId="3255FBFE" w14:textId="29D83735" w:rsidR="008E5CDC" w:rsidRDefault="00DD6C54" w:rsidP="00DD6C54">
      <w:pPr>
        <w:spacing w:after="120" w:line="240" w:lineRule="auto"/>
        <w:jc w:val="both"/>
        <w:rPr>
          <w:color w:val="000000"/>
          <w:szCs w:val="24"/>
          <w:lang w:val="en-GB"/>
        </w:rPr>
      </w:pPr>
      <w:r w:rsidRPr="00DD6C54">
        <w:rPr>
          <w:iCs/>
          <w:lang w:val="en-GB"/>
        </w:rPr>
        <w:t>The Commission regrets that the agreed text does not fully align the Regulation with the principles of the Common Approach on the EU decentralised agencies, as regards the voting regime of the Management Board concerning the rules governing the languages of the Centre. Therefore the agreement reached between the European Parliament and the Council on the language regime of the agency is without prejudice to any future legislative texts. The Commission remains convinced of the benefits of following all aspects of the Common Approach in relation to decentralised agencies.”</w:t>
      </w:r>
    </w:p>
    <w:p w14:paraId="027D57EC" w14:textId="77777777" w:rsidR="008E5CDC" w:rsidRDefault="008E5CDC">
      <w:pPr>
        <w:spacing w:after="200" w:line="276" w:lineRule="auto"/>
        <w:rPr>
          <w:szCs w:val="24"/>
          <w:lang w:val="en-IE"/>
        </w:rPr>
      </w:pPr>
      <w:r>
        <w:rPr>
          <w:szCs w:val="24"/>
          <w:lang w:val="en-IE"/>
        </w:rPr>
        <w:br w:type="page"/>
      </w:r>
    </w:p>
    <w:p w14:paraId="5C942207" w14:textId="77777777" w:rsidR="008E5CDC" w:rsidRPr="00FC0CF0" w:rsidRDefault="008E5CDC" w:rsidP="008E5CDC">
      <w:pPr>
        <w:spacing w:after="240" w:line="240" w:lineRule="auto"/>
        <w:jc w:val="center"/>
        <w:rPr>
          <w:lang w:val="en-GB"/>
        </w:rPr>
      </w:pPr>
      <w:r w:rsidRPr="00FC0CF0">
        <w:rPr>
          <w:b/>
          <w:lang w:val="en-GB"/>
        </w:rPr>
        <w:t xml:space="preserve">ORDINARY LEGISLATIVE </w:t>
      </w:r>
      <w:r w:rsidRPr="00FC0CF0">
        <w:rPr>
          <w:b/>
          <w:caps/>
          <w:lang w:val="en-GB"/>
        </w:rPr>
        <w:t>procedure</w:t>
      </w:r>
      <w:r w:rsidRPr="00FC0CF0">
        <w:rPr>
          <w:b/>
          <w:lang w:val="en-GB"/>
        </w:rPr>
        <w:t xml:space="preserve"> – First reading</w:t>
      </w:r>
    </w:p>
    <w:p w14:paraId="39EA4B79" w14:textId="77777777" w:rsidR="008E5CDC" w:rsidRPr="0083088E" w:rsidRDefault="008E5CDC" w:rsidP="008E5CDC">
      <w:pPr>
        <w:spacing w:after="600"/>
        <w:jc w:val="center"/>
        <w:rPr>
          <w:b/>
          <w:bCs/>
          <w:lang w:val="en-GB"/>
        </w:rPr>
      </w:pPr>
      <w:bookmarkStart w:id="3" w:name="serious"/>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83088E">
        <w:rPr>
          <w:b/>
          <w:bCs/>
          <w:lang w:val="en-GB"/>
        </w:rPr>
        <w:t>on the proposal for a regulation of the European Parliament and of the Council on serious cross-border threats to health repealing Decision No 1082/2013/EU</w:t>
      </w:r>
      <w:bookmarkEnd w:id="3"/>
    </w:p>
    <w:p w14:paraId="6C5E2E21" w14:textId="77777777" w:rsidR="008E5CDC" w:rsidRPr="00D824A0" w:rsidRDefault="008E5CDC" w:rsidP="008E5CDC">
      <w:pPr>
        <w:spacing w:after="240"/>
        <w:ind w:left="567" w:hanging="567"/>
        <w:jc w:val="both"/>
        <w:rPr>
          <w:szCs w:val="24"/>
        </w:rPr>
      </w:pPr>
      <w:r w:rsidRPr="00D824A0">
        <w:rPr>
          <w:b/>
        </w:rPr>
        <w:t>1.</w:t>
      </w:r>
      <w:r w:rsidRPr="00D824A0">
        <w:rPr>
          <w:b/>
        </w:rPr>
        <w:tab/>
        <w:t xml:space="preserve">Rapporteur: </w:t>
      </w:r>
      <w:r w:rsidRPr="0083088E">
        <w:rPr>
          <w:noProof/>
          <w:szCs w:val="24"/>
        </w:rPr>
        <w:t xml:space="preserve">Véronique TRILLET-LENOIR </w:t>
      </w:r>
      <w:r w:rsidRPr="00D824A0">
        <w:rPr>
          <w:color w:val="1E1E1F"/>
          <w:szCs w:val="24"/>
        </w:rPr>
        <w:t>(</w:t>
      </w:r>
      <w:r>
        <w:rPr>
          <w:color w:val="1E1E1F"/>
          <w:szCs w:val="24"/>
        </w:rPr>
        <w:t>Renew</w:t>
      </w:r>
      <w:r w:rsidRPr="00D824A0">
        <w:rPr>
          <w:color w:val="1E1E1F"/>
          <w:szCs w:val="24"/>
        </w:rPr>
        <w:t xml:space="preserve"> / </w:t>
      </w:r>
      <w:r>
        <w:rPr>
          <w:color w:val="1E1E1F"/>
          <w:szCs w:val="24"/>
        </w:rPr>
        <w:t>FR</w:t>
      </w:r>
      <w:r w:rsidRPr="00D824A0">
        <w:rPr>
          <w:color w:val="1E1E1F"/>
          <w:szCs w:val="24"/>
        </w:rPr>
        <w:t>)</w:t>
      </w:r>
    </w:p>
    <w:p w14:paraId="741CABA2" w14:textId="77777777" w:rsidR="008E5CDC" w:rsidRPr="00F42D18" w:rsidRDefault="008E5CDC" w:rsidP="008E5CDC">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20</w:t>
      </w:r>
      <w:r w:rsidRPr="00AC338E">
        <w:rPr>
          <w:lang w:val="en-GB"/>
        </w:rPr>
        <w:t>/0</w:t>
      </w:r>
      <w:r>
        <w:rPr>
          <w:lang w:val="en-GB"/>
        </w:rPr>
        <w:t>322</w:t>
      </w:r>
      <w:r w:rsidRPr="00AC338E">
        <w:rPr>
          <w:lang w:val="en-GB"/>
        </w:rPr>
        <w:t xml:space="preserve"> (COD) </w:t>
      </w:r>
      <w:r w:rsidRPr="006957A3">
        <w:rPr>
          <w:lang w:val="en-GB"/>
        </w:rPr>
        <w:t xml:space="preserve">/ </w:t>
      </w:r>
      <w:r>
        <w:rPr>
          <w:lang w:val="en-GB"/>
        </w:rPr>
        <w:t>A9-0247/2021 / P9_TA</w:t>
      </w:r>
      <w:r w:rsidRPr="006957A3">
        <w:rPr>
          <w:lang w:val="en-GB"/>
        </w:rPr>
        <w:t>(2022)0</w:t>
      </w:r>
      <w:r>
        <w:rPr>
          <w:lang w:val="en-GB"/>
        </w:rPr>
        <w:t>333</w:t>
      </w:r>
    </w:p>
    <w:p w14:paraId="0AF16B9A" w14:textId="77777777" w:rsidR="008E5CDC" w:rsidRPr="00FC0CF0" w:rsidRDefault="008E5CDC" w:rsidP="008E5CDC">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4 October </w:t>
      </w:r>
      <w:r w:rsidRPr="007859CD">
        <w:rPr>
          <w:lang w:val="en-GB"/>
        </w:rPr>
        <w:t>202</w:t>
      </w:r>
      <w:r>
        <w:rPr>
          <w:lang w:val="en-GB"/>
        </w:rPr>
        <w:t>2</w:t>
      </w:r>
    </w:p>
    <w:p w14:paraId="6AB9AF43" w14:textId="77777777" w:rsidR="008E5CDC" w:rsidRPr="00FD5BA5" w:rsidRDefault="008E5CDC" w:rsidP="008E5CDC">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 xml:space="preserve">Article </w:t>
      </w:r>
      <w:r>
        <w:rPr>
          <w:szCs w:val="24"/>
          <w:lang w:val="en-GB"/>
        </w:rPr>
        <w:t>168</w:t>
      </w:r>
      <w:r w:rsidRPr="0036264F">
        <w:rPr>
          <w:szCs w:val="24"/>
          <w:lang w:val="en-GB"/>
        </w:rPr>
        <w:t>(</w:t>
      </w:r>
      <w:r>
        <w:rPr>
          <w:szCs w:val="24"/>
          <w:lang w:val="en-GB"/>
        </w:rPr>
        <w:t>5</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70857FA5" w14:textId="77777777" w:rsidR="008E5CDC" w:rsidRPr="00FC0CF0" w:rsidRDefault="008E5CDC" w:rsidP="008E5CDC">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Environment, Public Health and Food Safety (ENVI)</w:t>
      </w:r>
    </w:p>
    <w:p w14:paraId="4C7EC2C5" w14:textId="5898DBC1" w:rsidR="008E5CDC" w:rsidRDefault="008E5CDC" w:rsidP="008E5CDC">
      <w:pPr>
        <w:spacing w:after="24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B8474F">
        <w:rPr>
          <w:color w:val="000000"/>
          <w:szCs w:val="24"/>
          <w:lang w:val="en-GB"/>
        </w:rPr>
        <w:t xml:space="preserve"> The Commission presented the following statement:</w:t>
      </w:r>
    </w:p>
    <w:p w14:paraId="532AA226" w14:textId="52743B83" w:rsidR="00B8474F" w:rsidRPr="00B8474F" w:rsidRDefault="00B8474F" w:rsidP="00B8474F">
      <w:pPr>
        <w:spacing w:after="120" w:line="240" w:lineRule="auto"/>
        <w:jc w:val="both"/>
        <w:rPr>
          <w:iCs/>
          <w:lang w:val="en-GB"/>
        </w:rPr>
      </w:pPr>
      <w:r>
        <w:rPr>
          <w:iCs/>
          <w:lang w:val="en-GB"/>
        </w:rPr>
        <w:t>“</w:t>
      </w:r>
      <w:r w:rsidRPr="00B8474F">
        <w:rPr>
          <w:iCs/>
          <w:lang w:val="en-GB"/>
        </w:rPr>
        <w:t>The Commission welcomes the overall agreement reached by the co-legislators on the proposal for a Regulation on serious cross-border threats to health.</w:t>
      </w:r>
      <w:r w:rsidR="00E9468E">
        <w:rPr>
          <w:iCs/>
          <w:lang w:val="en-GB"/>
        </w:rPr>
        <w:t xml:space="preserve"> </w:t>
      </w:r>
      <w:r w:rsidRPr="00B8474F">
        <w:rPr>
          <w:iCs/>
          <w:lang w:val="en-GB"/>
        </w:rPr>
        <w:t>This new Regulation provides for a strong health security framework in the EU and will strengthen EU-level protection, prevention, preparedness and response against cross-border health challenges.</w:t>
      </w:r>
    </w:p>
    <w:p w14:paraId="573809DC" w14:textId="77777777" w:rsidR="00B8474F" w:rsidRPr="00B8474F" w:rsidRDefault="00B8474F" w:rsidP="00B8474F">
      <w:pPr>
        <w:spacing w:after="120" w:line="240" w:lineRule="auto"/>
        <w:jc w:val="both"/>
        <w:rPr>
          <w:iCs/>
          <w:lang w:val="en-GB"/>
        </w:rPr>
      </w:pPr>
      <w:r w:rsidRPr="00B8474F">
        <w:rPr>
          <w:iCs/>
          <w:lang w:val="en-GB"/>
        </w:rPr>
        <w:t xml:space="preserve">The Commission regrets that the agreed text does not fully align the Regulation with the principle of one Commission and singles out one specific internal Commission service, whereas the Regulation will be implemented by the Commission (including other Commission departments) and other actors. Therefore, the agreement reached between the European Parliament and the Council on the provisions that refer to a specific Commission internal service is without prejudice to any future legislative texts. </w:t>
      </w:r>
    </w:p>
    <w:p w14:paraId="21EED3CA" w14:textId="7ED0B818" w:rsidR="00B8474F" w:rsidRPr="00B8474F" w:rsidRDefault="00B8474F" w:rsidP="00B8474F">
      <w:pPr>
        <w:spacing w:after="120" w:line="240" w:lineRule="auto"/>
        <w:jc w:val="both"/>
        <w:rPr>
          <w:iCs/>
          <w:lang w:val="en-GB"/>
        </w:rPr>
      </w:pPr>
      <w:r w:rsidRPr="00B8474F">
        <w:rPr>
          <w:iCs/>
          <w:lang w:val="en-GB"/>
        </w:rPr>
        <w:t>Moreover, the Commission also regrets that the co-legislators agreed to include a review clause, which includes an assessment of the need to establish the European Health Emergency preparedness and Response Authority (HERA) as a distinct entity from the Commission. Such an assessment goes beyond the scope of the Regulation and should remain within the Commission’s remit as HERA is a Commission service. Moreover, it duplicates the assessment that is to be carried out under the Council Regulation on a framework of measures for ensuring the supply of crisis-relevant medical countermeasures in the event of a public health emergency at Union level.</w:t>
      </w:r>
      <w:r>
        <w:rPr>
          <w:iCs/>
          <w:lang w:val="en-GB"/>
        </w:rPr>
        <w:t>”</w:t>
      </w:r>
    </w:p>
    <w:p w14:paraId="61F6900E" w14:textId="77777777" w:rsidR="008E5CDC" w:rsidRPr="00FC0CF0" w:rsidRDefault="0026424D" w:rsidP="008E5CDC">
      <w:pPr>
        <w:spacing w:after="240" w:line="240" w:lineRule="auto"/>
        <w:jc w:val="center"/>
        <w:rPr>
          <w:lang w:val="en-GB"/>
        </w:rPr>
      </w:pPr>
      <w:r>
        <w:rPr>
          <w:szCs w:val="24"/>
          <w:lang w:val="en-IE"/>
        </w:rPr>
        <w:br w:type="page"/>
      </w:r>
      <w:r w:rsidR="008E5CDC" w:rsidRPr="00FC0CF0">
        <w:rPr>
          <w:b/>
          <w:lang w:val="en-GB"/>
        </w:rPr>
        <w:t xml:space="preserve">ORDINARY LEGISLATIVE </w:t>
      </w:r>
      <w:r w:rsidR="008E5CDC" w:rsidRPr="00FC0CF0">
        <w:rPr>
          <w:b/>
          <w:caps/>
          <w:lang w:val="en-GB"/>
        </w:rPr>
        <w:t>procedure</w:t>
      </w:r>
      <w:r w:rsidR="008E5CDC" w:rsidRPr="00FC0CF0">
        <w:rPr>
          <w:b/>
          <w:lang w:val="en-GB"/>
        </w:rPr>
        <w:t xml:space="preserve"> – First reading</w:t>
      </w:r>
    </w:p>
    <w:p w14:paraId="4B01532F" w14:textId="77777777" w:rsidR="008E5CDC" w:rsidRPr="00C25D87" w:rsidRDefault="008E5CDC" w:rsidP="008E5CDC">
      <w:pPr>
        <w:spacing w:after="600"/>
        <w:jc w:val="center"/>
        <w:rPr>
          <w:b/>
          <w:bCs/>
          <w:lang w:val="en-GB"/>
        </w:rPr>
      </w:pPr>
      <w:bookmarkStart w:id="4" w:name="IOCT"/>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C25D87">
        <w:rPr>
          <w:b/>
          <w:bCs/>
          <w:lang w:val="en-GB"/>
        </w:rPr>
        <w:t>on the proposal for a regulation of the European Parliament and of the Council laying down management, conservation and control measures applicable in the Indian Ocean Tuna Commission (IOTC) Area of Competence, amending Council Regulations (EC) No 1936/2001, (EC) No 1984/2003 and (EC) No 520/2007</w:t>
      </w:r>
      <w:bookmarkEnd w:id="4"/>
    </w:p>
    <w:p w14:paraId="0CE113B6" w14:textId="77777777" w:rsidR="008E5CDC" w:rsidRPr="001B4B42" w:rsidRDefault="008E5CDC" w:rsidP="008E5CDC">
      <w:pPr>
        <w:spacing w:after="240"/>
        <w:ind w:left="567" w:hanging="567"/>
        <w:jc w:val="both"/>
        <w:rPr>
          <w:szCs w:val="24"/>
          <w:lang w:val="en-GB"/>
        </w:rPr>
      </w:pPr>
      <w:r w:rsidRPr="001B4B42">
        <w:rPr>
          <w:b/>
          <w:lang w:val="en-GB"/>
        </w:rPr>
        <w:t>1.</w:t>
      </w:r>
      <w:r w:rsidRPr="001B4B42">
        <w:rPr>
          <w:b/>
          <w:lang w:val="en-GB"/>
        </w:rPr>
        <w:tab/>
        <w:t xml:space="preserve">Rapporteur: </w:t>
      </w:r>
      <w:r w:rsidRPr="001B4B42">
        <w:rPr>
          <w:noProof/>
          <w:szCs w:val="24"/>
          <w:lang w:val="en-GB"/>
        </w:rPr>
        <w:t xml:space="preserve">Gabriel MATO </w:t>
      </w:r>
      <w:r w:rsidRPr="001B4B42">
        <w:rPr>
          <w:color w:val="1E1E1F"/>
          <w:szCs w:val="24"/>
          <w:lang w:val="en-GB"/>
        </w:rPr>
        <w:t>(EPP / ES)</w:t>
      </w:r>
    </w:p>
    <w:p w14:paraId="31BDD43B" w14:textId="77777777" w:rsidR="008E5CDC" w:rsidRPr="00F42D18" w:rsidRDefault="008E5CDC" w:rsidP="008E5CDC">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21</w:t>
      </w:r>
      <w:r w:rsidRPr="00AC338E">
        <w:rPr>
          <w:lang w:val="en-GB"/>
        </w:rPr>
        <w:t>/0</w:t>
      </w:r>
      <w:r>
        <w:rPr>
          <w:lang w:val="en-GB"/>
        </w:rPr>
        <w:t>058</w:t>
      </w:r>
      <w:r w:rsidRPr="00AC338E">
        <w:rPr>
          <w:lang w:val="en-GB"/>
        </w:rPr>
        <w:t xml:space="preserve"> (COD) </w:t>
      </w:r>
      <w:r w:rsidRPr="006957A3">
        <w:rPr>
          <w:lang w:val="en-GB"/>
        </w:rPr>
        <w:t xml:space="preserve">/ </w:t>
      </w:r>
      <w:r>
        <w:rPr>
          <w:lang w:val="en-GB"/>
        </w:rPr>
        <w:t>A9-0312/2021 / P9_TA</w:t>
      </w:r>
      <w:r w:rsidRPr="006957A3">
        <w:rPr>
          <w:lang w:val="en-GB"/>
        </w:rPr>
        <w:t>(2022)0</w:t>
      </w:r>
      <w:r>
        <w:rPr>
          <w:lang w:val="en-GB"/>
        </w:rPr>
        <w:t>336</w:t>
      </w:r>
    </w:p>
    <w:p w14:paraId="5A83AE3A" w14:textId="77777777" w:rsidR="008E5CDC" w:rsidRPr="00FC0CF0" w:rsidRDefault="008E5CDC" w:rsidP="008E5CDC">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4 October </w:t>
      </w:r>
      <w:r w:rsidRPr="007859CD">
        <w:rPr>
          <w:lang w:val="en-GB"/>
        </w:rPr>
        <w:t>202</w:t>
      </w:r>
      <w:r>
        <w:rPr>
          <w:lang w:val="en-GB"/>
        </w:rPr>
        <w:t>2</w:t>
      </w:r>
    </w:p>
    <w:p w14:paraId="08BFDC43" w14:textId="77777777" w:rsidR="008E5CDC" w:rsidRPr="00FD5BA5" w:rsidRDefault="008E5CDC" w:rsidP="008E5CDC">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 xml:space="preserve">Article </w:t>
      </w:r>
      <w:r>
        <w:rPr>
          <w:szCs w:val="24"/>
          <w:lang w:val="en-GB"/>
        </w:rPr>
        <w:t>43</w:t>
      </w:r>
      <w:r w:rsidRPr="0036264F">
        <w:rPr>
          <w:szCs w:val="24"/>
          <w:lang w:val="en-GB"/>
        </w:rPr>
        <w:t>(</w:t>
      </w:r>
      <w:r>
        <w:rPr>
          <w:szCs w:val="24"/>
          <w:lang w:val="en-GB"/>
        </w:rPr>
        <w:t>2</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4371AD1D" w14:textId="77777777" w:rsidR="008E5CDC" w:rsidRPr="00FC0CF0" w:rsidRDefault="008E5CDC" w:rsidP="008E5CDC">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Fisheries (PECH)</w:t>
      </w:r>
    </w:p>
    <w:p w14:paraId="7B0B02E7" w14:textId="0B7183A3" w:rsidR="008E5CDC" w:rsidRDefault="008E5CDC" w:rsidP="008E5CDC">
      <w:pPr>
        <w:spacing w:after="24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A0307F">
        <w:rPr>
          <w:color w:val="000000"/>
          <w:szCs w:val="24"/>
          <w:lang w:val="en-GB"/>
        </w:rPr>
        <w:t xml:space="preserve"> The Commission presented the following statement:</w:t>
      </w:r>
    </w:p>
    <w:p w14:paraId="2143EBED" w14:textId="77777777" w:rsidR="00A0307F" w:rsidRPr="00A0307F" w:rsidRDefault="00A0307F" w:rsidP="00A0307F">
      <w:pPr>
        <w:spacing w:after="120" w:line="240" w:lineRule="auto"/>
        <w:jc w:val="both"/>
        <w:rPr>
          <w:iCs/>
          <w:szCs w:val="24"/>
          <w:lang w:val="en-IE"/>
        </w:rPr>
      </w:pPr>
      <w:r w:rsidRPr="00A0307F">
        <w:rPr>
          <w:iCs/>
          <w:szCs w:val="24"/>
          <w:lang w:val="en-IE"/>
        </w:rPr>
        <w:t>The European Parliament and the Council have on several occasions underlined the need to further improve the process of implementation of conservation measures adopted by Regional Fisheries Management Organisations (RFMOs), notably in terms of their timely adoption.</w:t>
      </w:r>
    </w:p>
    <w:p w14:paraId="707B6228" w14:textId="362B124C" w:rsidR="008E5CDC" w:rsidRDefault="00A0307F" w:rsidP="00A0307F">
      <w:pPr>
        <w:spacing w:after="120" w:line="240" w:lineRule="auto"/>
        <w:jc w:val="both"/>
        <w:rPr>
          <w:color w:val="000000"/>
          <w:szCs w:val="24"/>
          <w:lang w:val="en-GB"/>
        </w:rPr>
      </w:pPr>
      <w:r w:rsidRPr="00A0307F">
        <w:rPr>
          <w:iCs/>
          <w:szCs w:val="24"/>
          <w:lang w:val="en-IE"/>
        </w:rPr>
        <w:t>Against this background the Commission regrets that its attempt to streamline the implementation process has not been fully retained by the European Parliament and the Council. The Commission will continue to work together with the European Parliament and the Council on further improvements to the implementation process.</w:t>
      </w:r>
    </w:p>
    <w:p w14:paraId="4349FA92" w14:textId="77777777" w:rsidR="00CE4EF1" w:rsidRPr="00FC0CF0" w:rsidRDefault="008E5CDC" w:rsidP="00CE4EF1">
      <w:pPr>
        <w:spacing w:after="240" w:line="240" w:lineRule="auto"/>
        <w:jc w:val="center"/>
        <w:rPr>
          <w:lang w:val="en-GB"/>
        </w:rPr>
      </w:pPr>
      <w:r>
        <w:rPr>
          <w:szCs w:val="24"/>
          <w:lang w:val="en-IE"/>
        </w:rPr>
        <w:br w:type="page"/>
      </w:r>
      <w:r w:rsidR="00CE4EF1" w:rsidRPr="00FC0CF0">
        <w:rPr>
          <w:b/>
          <w:lang w:val="en-GB"/>
        </w:rPr>
        <w:t xml:space="preserve">ORDINARY LEGISLATIVE </w:t>
      </w:r>
      <w:r w:rsidR="00CE4EF1" w:rsidRPr="00FC0CF0">
        <w:rPr>
          <w:b/>
          <w:caps/>
          <w:lang w:val="en-GB"/>
        </w:rPr>
        <w:t>procedure</w:t>
      </w:r>
      <w:r w:rsidR="00CE4EF1" w:rsidRPr="00FC0CF0">
        <w:rPr>
          <w:b/>
          <w:lang w:val="en-GB"/>
        </w:rPr>
        <w:t xml:space="preserve"> – First reading</w:t>
      </w:r>
    </w:p>
    <w:p w14:paraId="081E9593" w14:textId="77777777" w:rsidR="00CE4EF1" w:rsidRPr="00A61FB1" w:rsidRDefault="00CE4EF1" w:rsidP="00CE4EF1">
      <w:pPr>
        <w:spacing w:after="600"/>
        <w:jc w:val="center"/>
        <w:rPr>
          <w:b/>
          <w:bCs/>
          <w:lang w:val="en-GB"/>
        </w:rPr>
      </w:pPr>
      <w:bookmarkStart w:id="5" w:name="radio"/>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A61FB1">
        <w:rPr>
          <w:b/>
          <w:bCs/>
          <w:lang w:val="en-GB"/>
        </w:rPr>
        <w:t>on the proposal for a directive of the European Parliament and of the Council amending Directive 2014/53/EU on the harmonisation of the laws of the Member States relating to the making available on the market of radio equipment</w:t>
      </w:r>
      <w:bookmarkEnd w:id="5"/>
    </w:p>
    <w:p w14:paraId="185CD669" w14:textId="77777777" w:rsidR="00CE4EF1" w:rsidRPr="00D824A0" w:rsidRDefault="00CE4EF1" w:rsidP="00CE4EF1">
      <w:pPr>
        <w:spacing w:after="240"/>
        <w:ind w:left="567" w:hanging="567"/>
        <w:jc w:val="both"/>
        <w:rPr>
          <w:szCs w:val="24"/>
        </w:rPr>
      </w:pPr>
      <w:r w:rsidRPr="00D824A0">
        <w:rPr>
          <w:b/>
        </w:rPr>
        <w:t>1.</w:t>
      </w:r>
      <w:r w:rsidRPr="00D824A0">
        <w:rPr>
          <w:b/>
        </w:rPr>
        <w:tab/>
        <w:t xml:space="preserve">Rapporteur: </w:t>
      </w:r>
      <w:r w:rsidRPr="00A61FB1">
        <w:rPr>
          <w:noProof/>
          <w:szCs w:val="24"/>
        </w:rPr>
        <w:t xml:space="preserve">Alex AGIUS SALIBA </w:t>
      </w:r>
      <w:r w:rsidRPr="00D824A0">
        <w:rPr>
          <w:color w:val="1E1E1F"/>
          <w:szCs w:val="24"/>
        </w:rPr>
        <w:t>(</w:t>
      </w:r>
      <w:r>
        <w:rPr>
          <w:color w:val="1E1E1F"/>
          <w:szCs w:val="24"/>
        </w:rPr>
        <w:t>S&amp;D</w:t>
      </w:r>
      <w:r w:rsidRPr="00D824A0">
        <w:rPr>
          <w:color w:val="1E1E1F"/>
          <w:szCs w:val="24"/>
        </w:rPr>
        <w:t xml:space="preserve"> / </w:t>
      </w:r>
      <w:r>
        <w:rPr>
          <w:color w:val="1E1E1F"/>
          <w:szCs w:val="24"/>
        </w:rPr>
        <w:t>MT</w:t>
      </w:r>
      <w:r w:rsidRPr="00D824A0">
        <w:rPr>
          <w:color w:val="1E1E1F"/>
          <w:szCs w:val="24"/>
        </w:rPr>
        <w:t>)</w:t>
      </w:r>
    </w:p>
    <w:p w14:paraId="3C9A41DA" w14:textId="77777777" w:rsidR="00CE4EF1" w:rsidRPr="00F42D18" w:rsidRDefault="00CE4EF1" w:rsidP="00CE4EF1">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21</w:t>
      </w:r>
      <w:r w:rsidRPr="00AC338E">
        <w:rPr>
          <w:lang w:val="en-GB"/>
        </w:rPr>
        <w:t>/0</w:t>
      </w:r>
      <w:r>
        <w:rPr>
          <w:lang w:val="en-GB"/>
        </w:rPr>
        <w:t>291</w:t>
      </w:r>
      <w:r w:rsidRPr="00AC338E">
        <w:rPr>
          <w:lang w:val="en-GB"/>
        </w:rPr>
        <w:t xml:space="preserve"> (COD) </w:t>
      </w:r>
      <w:r w:rsidRPr="006957A3">
        <w:rPr>
          <w:lang w:val="en-GB"/>
        </w:rPr>
        <w:t xml:space="preserve">/ </w:t>
      </w:r>
      <w:r>
        <w:rPr>
          <w:lang w:val="en-GB"/>
        </w:rPr>
        <w:t>A9-0129/2022 / P9_TA</w:t>
      </w:r>
      <w:r w:rsidRPr="006957A3">
        <w:rPr>
          <w:lang w:val="en-GB"/>
        </w:rPr>
        <w:t>(2022)0</w:t>
      </w:r>
      <w:r>
        <w:rPr>
          <w:lang w:val="en-GB"/>
        </w:rPr>
        <w:t>338</w:t>
      </w:r>
    </w:p>
    <w:p w14:paraId="04DD1B85" w14:textId="77777777" w:rsidR="00CE4EF1" w:rsidRPr="00FC0CF0" w:rsidRDefault="00CE4EF1" w:rsidP="00CE4EF1">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4 October </w:t>
      </w:r>
      <w:r w:rsidRPr="007859CD">
        <w:rPr>
          <w:lang w:val="en-GB"/>
        </w:rPr>
        <w:t>202</w:t>
      </w:r>
      <w:r>
        <w:rPr>
          <w:lang w:val="en-GB"/>
        </w:rPr>
        <w:t>2</w:t>
      </w:r>
    </w:p>
    <w:p w14:paraId="31757032" w14:textId="77777777" w:rsidR="00CE4EF1" w:rsidRPr="00FD5BA5" w:rsidRDefault="00CE4EF1" w:rsidP="00CE4EF1">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 xml:space="preserve">Article </w:t>
      </w:r>
      <w:r>
        <w:rPr>
          <w:szCs w:val="24"/>
          <w:lang w:val="en-GB"/>
        </w:rPr>
        <w:t>114</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015DEE75" w14:textId="77777777" w:rsidR="00CE4EF1" w:rsidRPr="00FC0CF0" w:rsidRDefault="00CE4EF1" w:rsidP="00CE4EF1">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Internal Market and Consumer Protection (IMCO)</w:t>
      </w:r>
    </w:p>
    <w:p w14:paraId="0B91AC24" w14:textId="77777777" w:rsidR="00CE4EF1" w:rsidRDefault="00CE4EF1" w:rsidP="00CE4EF1">
      <w:pPr>
        <w:spacing w:after="24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p>
    <w:p w14:paraId="5E0E9C5A" w14:textId="77777777" w:rsidR="00CE4EF1" w:rsidRPr="00FC0CF0" w:rsidRDefault="00CE4EF1" w:rsidP="00CE4EF1">
      <w:pPr>
        <w:spacing w:after="240" w:line="240" w:lineRule="auto"/>
        <w:jc w:val="center"/>
        <w:rPr>
          <w:lang w:val="en-GB"/>
        </w:rPr>
      </w:pPr>
      <w:r>
        <w:rPr>
          <w:szCs w:val="24"/>
          <w:lang w:val="en-IE"/>
        </w:rPr>
        <w:br w:type="page"/>
      </w:r>
      <w:r w:rsidRPr="00FC0CF0">
        <w:rPr>
          <w:b/>
          <w:lang w:val="en-GB"/>
        </w:rPr>
        <w:t xml:space="preserve">ORDINARY LEGISLATIVE </w:t>
      </w:r>
      <w:r w:rsidRPr="00FC0CF0">
        <w:rPr>
          <w:b/>
          <w:caps/>
          <w:lang w:val="en-GB"/>
        </w:rPr>
        <w:t>procedure</w:t>
      </w:r>
      <w:r w:rsidRPr="00FC0CF0">
        <w:rPr>
          <w:b/>
          <w:lang w:val="en-GB"/>
        </w:rPr>
        <w:t xml:space="preserve"> – First reading</w:t>
      </w:r>
    </w:p>
    <w:p w14:paraId="7190FFD6" w14:textId="77777777" w:rsidR="00CE4EF1" w:rsidRPr="00D73A62" w:rsidRDefault="00CE4EF1" w:rsidP="00CE4EF1">
      <w:pPr>
        <w:spacing w:after="600"/>
        <w:jc w:val="center"/>
        <w:rPr>
          <w:b/>
          <w:bCs/>
          <w:lang w:val="en-GB"/>
        </w:rPr>
      </w:pPr>
      <w:bookmarkStart w:id="6" w:name="window"/>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D73A62">
        <w:rPr>
          <w:b/>
          <w:bCs/>
          <w:lang w:val="en-GB"/>
        </w:rPr>
        <w:t>on the proposal for a regulation of the European Parliament and of the Council establishing the European Union Single Window Environment for Customs and amending Regulation (EU) No 952/2013</w:t>
      </w:r>
    </w:p>
    <w:bookmarkEnd w:id="6"/>
    <w:p w14:paraId="62B39818" w14:textId="77777777" w:rsidR="00CE4EF1" w:rsidRPr="00D824A0" w:rsidRDefault="00CE4EF1" w:rsidP="00CE4EF1">
      <w:pPr>
        <w:spacing w:after="240"/>
        <w:ind w:left="567" w:hanging="567"/>
        <w:jc w:val="both"/>
        <w:rPr>
          <w:szCs w:val="24"/>
        </w:rPr>
      </w:pPr>
      <w:r w:rsidRPr="00D824A0">
        <w:rPr>
          <w:b/>
        </w:rPr>
        <w:t>1.</w:t>
      </w:r>
      <w:r w:rsidRPr="00D824A0">
        <w:rPr>
          <w:b/>
        </w:rPr>
        <w:tab/>
        <w:t xml:space="preserve">Rapporteur: </w:t>
      </w:r>
      <w:r w:rsidRPr="00D73A62">
        <w:rPr>
          <w:noProof/>
          <w:szCs w:val="24"/>
        </w:rPr>
        <w:t xml:space="preserve">Ivan ŠTEFANEC </w:t>
      </w:r>
      <w:r w:rsidRPr="00D824A0">
        <w:rPr>
          <w:color w:val="1E1E1F"/>
          <w:szCs w:val="24"/>
        </w:rPr>
        <w:t>(</w:t>
      </w:r>
      <w:r>
        <w:rPr>
          <w:color w:val="1E1E1F"/>
          <w:szCs w:val="24"/>
        </w:rPr>
        <w:t>EPP</w:t>
      </w:r>
      <w:r w:rsidRPr="00D824A0">
        <w:rPr>
          <w:color w:val="1E1E1F"/>
          <w:szCs w:val="24"/>
        </w:rPr>
        <w:t xml:space="preserve"> / </w:t>
      </w:r>
      <w:r>
        <w:rPr>
          <w:color w:val="1E1E1F"/>
          <w:szCs w:val="24"/>
        </w:rPr>
        <w:t>SK</w:t>
      </w:r>
      <w:r w:rsidRPr="00D824A0">
        <w:rPr>
          <w:color w:val="1E1E1F"/>
          <w:szCs w:val="24"/>
        </w:rPr>
        <w:t>)</w:t>
      </w:r>
    </w:p>
    <w:p w14:paraId="1EDECB87" w14:textId="77777777" w:rsidR="00CE4EF1" w:rsidRPr="00F42D18" w:rsidRDefault="00CE4EF1" w:rsidP="00CE4EF1">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20</w:t>
      </w:r>
      <w:r w:rsidRPr="00AC338E">
        <w:rPr>
          <w:lang w:val="en-GB"/>
        </w:rPr>
        <w:t>/0</w:t>
      </w:r>
      <w:r>
        <w:rPr>
          <w:lang w:val="en-GB"/>
        </w:rPr>
        <w:t>306</w:t>
      </w:r>
      <w:r w:rsidRPr="00AC338E">
        <w:rPr>
          <w:lang w:val="en-GB"/>
        </w:rPr>
        <w:t xml:space="preserve"> (COD) </w:t>
      </w:r>
      <w:r w:rsidRPr="006957A3">
        <w:rPr>
          <w:lang w:val="en-GB"/>
        </w:rPr>
        <w:t xml:space="preserve">/ </w:t>
      </w:r>
      <w:r>
        <w:rPr>
          <w:lang w:val="en-GB"/>
        </w:rPr>
        <w:t>A9-0279/2021 / P9_TA</w:t>
      </w:r>
      <w:r w:rsidRPr="006957A3">
        <w:rPr>
          <w:lang w:val="en-GB"/>
        </w:rPr>
        <w:t>(2022)0</w:t>
      </w:r>
      <w:r>
        <w:rPr>
          <w:lang w:val="en-GB"/>
        </w:rPr>
        <w:t>340</w:t>
      </w:r>
    </w:p>
    <w:p w14:paraId="6432C8B7" w14:textId="77777777" w:rsidR="00CE4EF1" w:rsidRPr="00FC0CF0" w:rsidRDefault="00CE4EF1" w:rsidP="00CE4EF1">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4 October </w:t>
      </w:r>
      <w:r w:rsidRPr="007859CD">
        <w:rPr>
          <w:lang w:val="en-GB"/>
        </w:rPr>
        <w:t>202</w:t>
      </w:r>
      <w:r>
        <w:rPr>
          <w:lang w:val="en-GB"/>
        </w:rPr>
        <w:t>2</w:t>
      </w:r>
    </w:p>
    <w:p w14:paraId="0B4B0A0C" w14:textId="77777777" w:rsidR="00CE4EF1" w:rsidRPr="00FD5BA5" w:rsidRDefault="00CE4EF1" w:rsidP="00CE4EF1">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Article</w:t>
      </w:r>
      <w:r>
        <w:rPr>
          <w:szCs w:val="24"/>
          <w:lang w:val="en-GB"/>
        </w:rPr>
        <w:t>s 114 and 207</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58CD219C" w14:textId="77777777" w:rsidR="00CE4EF1" w:rsidRPr="00FC0CF0" w:rsidRDefault="00CE4EF1" w:rsidP="00CE4EF1">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Internal Market and Consumer Protection (IMCO)</w:t>
      </w:r>
    </w:p>
    <w:p w14:paraId="508F40CD" w14:textId="377981F5" w:rsidR="00CE4EF1" w:rsidRDefault="00CE4EF1" w:rsidP="00CE4EF1">
      <w:pPr>
        <w:spacing w:after="24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DD7738">
        <w:rPr>
          <w:color w:val="000000"/>
          <w:szCs w:val="24"/>
          <w:lang w:val="en-GB"/>
        </w:rPr>
        <w:t xml:space="preserve"> The Commission presented the following statement:</w:t>
      </w:r>
    </w:p>
    <w:p w14:paraId="4B7B6B98" w14:textId="609EC7AC" w:rsidR="00DD7738" w:rsidRPr="00DD7738" w:rsidRDefault="00DD7738" w:rsidP="00DD7738">
      <w:pPr>
        <w:spacing w:after="120" w:line="240" w:lineRule="auto"/>
        <w:jc w:val="both"/>
        <w:rPr>
          <w:color w:val="000000"/>
          <w:szCs w:val="24"/>
          <w:lang w:val="en-GB"/>
        </w:rPr>
      </w:pPr>
      <w:r w:rsidRPr="00DD7738">
        <w:rPr>
          <w:color w:val="000000"/>
          <w:szCs w:val="24"/>
          <w:lang w:val="en-GB"/>
        </w:rPr>
        <w:t>“The Commission regrets that the original dates foreseen in the proposal for the Government-to-Government exchanges were not retained by the co-legislators, and that this will reduce the capacity of the Union to deliver on its commitments under the Green Deal for the management of ozone depleting substances and control and reduction of fluorinated greenhouse gases to prevent climate-relevant emissions. However, given the significant impact on customs of major current and past events the Commission understands that Member States are facing great pressure. At the same time, the Commission acknowledges that some Member States are already interconnected to the EU Customs Single Window - Certificate Exchange System (EU CSW-CERTEX), and some have asked for the possibility to interconnect before 2025. Therefore, notwithstanding the deadlines listed in the Annex, the Commission strongly encourages all Member States to take all the necessary steps to interconnect as soon as possible”.</w:t>
      </w:r>
    </w:p>
    <w:p w14:paraId="702DFD12" w14:textId="7EBBA577" w:rsidR="00CE4EF1" w:rsidRPr="00FC0CF0" w:rsidRDefault="00CE4EF1" w:rsidP="00CE4EF1">
      <w:pPr>
        <w:spacing w:after="240" w:line="240" w:lineRule="auto"/>
        <w:jc w:val="center"/>
        <w:rPr>
          <w:lang w:val="en-GB"/>
        </w:rPr>
      </w:pPr>
      <w:r>
        <w:rPr>
          <w:szCs w:val="24"/>
          <w:lang w:val="en-IE"/>
        </w:rPr>
        <w:br w:type="page"/>
      </w:r>
      <w:r w:rsidRPr="00FC0CF0">
        <w:rPr>
          <w:b/>
          <w:lang w:val="en-GB"/>
        </w:rPr>
        <w:t xml:space="preserve">ORDINARY LEGISLATIVE </w:t>
      </w:r>
      <w:r w:rsidRPr="00FC0CF0">
        <w:rPr>
          <w:b/>
          <w:caps/>
          <w:lang w:val="en-GB"/>
        </w:rPr>
        <w:t>procedure</w:t>
      </w:r>
      <w:r w:rsidRPr="00FC0CF0">
        <w:rPr>
          <w:b/>
          <w:lang w:val="en-GB"/>
        </w:rPr>
        <w:t xml:space="preserve"> – First reading</w:t>
      </w:r>
    </w:p>
    <w:p w14:paraId="2F528377" w14:textId="77777777" w:rsidR="00CE4EF1" w:rsidRPr="0002202C" w:rsidRDefault="00CE4EF1" w:rsidP="00CE4EF1">
      <w:pPr>
        <w:spacing w:after="600"/>
        <w:jc w:val="center"/>
        <w:rPr>
          <w:b/>
          <w:bCs/>
          <w:lang w:val="en-GB"/>
        </w:rPr>
      </w:pPr>
      <w:bookmarkStart w:id="7" w:name="SAIO"/>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02202C">
        <w:rPr>
          <w:b/>
          <w:bCs/>
          <w:lang w:val="en-GB"/>
        </w:rPr>
        <w:t>on the proposal for a regulation of the European Parliament and of the Council on statistics on agricultural input and output and repealing Regulations (EC) No 1165/2008, (EC) No 543/2009, (EC) No 1185/2009 and Council Directive 96/16/EC</w:t>
      </w:r>
      <w:bookmarkEnd w:id="7"/>
    </w:p>
    <w:p w14:paraId="0B8A43AD" w14:textId="77777777" w:rsidR="00CE4EF1" w:rsidRPr="00CE4EF1" w:rsidRDefault="00CE4EF1" w:rsidP="00CE4EF1">
      <w:pPr>
        <w:spacing w:after="240"/>
        <w:ind w:left="567" w:hanging="567"/>
        <w:jc w:val="both"/>
        <w:rPr>
          <w:szCs w:val="24"/>
          <w:lang w:val="en-GB"/>
        </w:rPr>
      </w:pPr>
      <w:r w:rsidRPr="00CE4EF1">
        <w:rPr>
          <w:b/>
          <w:lang w:val="en-GB"/>
        </w:rPr>
        <w:t>1.</w:t>
      </w:r>
      <w:r w:rsidRPr="00CE4EF1">
        <w:rPr>
          <w:b/>
          <w:lang w:val="en-GB"/>
        </w:rPr>
        <w:tab/>
        <w:t xml:space="preserve">Rapporteur: </w:t>
      </w:r>
      <w:r w:rsidRPr="00CE4EF1">
        <w:rPr>
          <w:noProof/>
          <w:szCs w:val="24"/>
          <w:lang w:val="en-GB"/>
        </w:rPr>
        <w:t xml:space="preserve">Petros KOKKALIS </w:t>
      </w:r>
      <w:r w:rsidRPr="00CE4EF1">
        <w:rPr>
          <w:color w:val="1E1E1F"/>
          <w:szCs w:val="24"/>
          <w:lang w:val="en-GB"/>
        </w:rPr>
        <w:t>(The Left / GR)</w:t>
      </w:r>
    </w:p>
    <w:p w14:paraId="5252F659" w14:textId="77777777" w:rsidR="00CE4EF1" w:rsidRPr="00F42D18" w:rsidRDefault="00CE4EF1" w:rsidP="00CE4EF1">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21</w:t>
      </w:r>
      <w:r w:rsidRPr="00AC338E">
        <w:rPr>
          <w:lang w:val="en-GB"/>
        </w:rPr>
        <w:t>/0</w:t>
      </w:r>
      <w:r>
        <w:rPr>
          <w:lang w:val="en-GB"/>
        </w:rPr>
        <w:t>020</w:t>
      </w:r>
      <w:r w:rsidRPr="00AC338E">
        <w:rPr>
          <w:lang w:val="en-GB"/>
        </w:rPr>
        <w:t xml:space="preserve"> (COD) </w:t>
      </w:r>
      <w:r w:rsidRPr="006957A3">
        <w:rPr>
          <w:lang w:val="en-GB"/>
        </w:rPr>
        <w:t xml:space="preserve">/ </w:t>
      </w:r>
      <w:r>
        <w:rPr>
          <w:lang w:val="en-GB"/>
        </w:rPr>
        <w:t>A9-0285/2021 / P9_TA</w:t>
      </w:r>
      <w:r w:rsidRPr="006957A3">
        <w:rPr>
          <w:lang w:val="en-GB"/>
        </w:rPr>
        <w:t>(2022)0</w:t>
      </w:r>
      <w:r>
        <w:rPr>
          <w:lang w:val="en-GB"/>
        </w:rPr>
        <w:t>341</w:t>
      </w:r>
    </w:p>
    <w:p w14:paraId="53C19E81" w14:textId="77777777" w:rsidR="00CE4EF1" w:rsidRPr="00FC0CF0" w:rsidRDefault="00CE4EF1" w:rsidP="00CE4EF1">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4 October </w:t>
      </w:r>
      <w:r w:rsidRPr="007859CD">
        <w:rPr>
          <w:lang w:val="en-GB"/>
        </w:rPr>
        <w:t>202</w:t>
      </w:r>
      <w:r>
        <w:rPr>
          <w:lang w:val="en-GB"/>
        </w:rPr>
        <w:t>2</w:t>
      </w:r>
    </w:p>
    <w:p w14:paraId="45EAA377" w14:textId="77777777" w:rsidR="00CE4EF1" w:rsidRPr="00FD5BA5" w:rsidRDefault="00CE4EF1" w:rsidP="00CE4EF1">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 xml:space="preserve">Article </w:t>
      </w:r>
      <w:r>
        <w:rPr>
          <w:szCs w:val="24"/>
          <w:lang w:val="en-GB"/>
        </w:rPr>
        <w:t>338(1)</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558DD596" w14:textId="77777777" w:rsidR="00CE4EF1" w:rsidRPr="00FC0CF0" w:rsidRDefault="00CE4EF1" w:rsidP="00CE4EF1">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Agriculture and Rural Development (AGRI)</w:t>
      </w:r>
    </w:p>
    <w:p w14:paraId="3D47AEAA" w14:textId="56F57DCD" w:rsidR="00CE4EF1" w:rsidRDefault="00CE4EF1" w:rsidP="00CE4EF1">
      <w:pPr>
        <w:spacing w:after="24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p>
    <w:p w14:paraId="1F9BE4DD" w14:textId="77777777" w:rsidR="002D43F9" w:rsidRPr="00575A42" w:rsidRDefault="002D43F9" w:rsidP="002D43F9">
      <w:pPr>
        <w:spacing w:after="120"/>
        <w:ind w:left="11" w:hanging="11"/>
        <w:jc w:val="both"/>
        <w:rPr>
          <w:szCs w:val="24"/>
          <w:lang w:val="en-GB"/>
        </w:rPr>
      </w:pPr>
      <w:r w:rsidRPr="00575A42">
        <w:rPr>
          <w:szCs w:val="24"/>
          <w:lang w:val="en-GB"/>
        </w:rPr>
        <w:t xml:space="preserve">The Commission tabled the following statement </w:t>
      </w:r>
      <w:r w:rsidRPr="00575A42">
        <w:rPr>
          <w:szCs w:val="24"/>
          <w:lang w:val="en-IE"/>
        </w:rPr>
        <w:t>in relation to Regulation (EU) 2022/...</w:t>
      </w:r>
      <w:r w:rsidRPr="00575A42">
        <w:rPr>
          <w:rStyle w:val="FootnoteReference"/>
          <w:szCs w:val="24"/>
          <w:lang w:val="en-GB"/>
        </w:rPr>
        <w:footnoteReference w:customMarkFollows="1" w:id="1"/>
        <w:sym w:font="Symbol" w:char="F02B"/>
      </w:r>
      <w:r w:rsidRPr="00575A42">
        <w:rPr>
          <w:rStyle w:val="FootnoteReference"/>
          <w:szCs w:val="24"/>
          <w:lang w:val="en-IE"/>
        </w:rPr>
        <w:t>,</w:t>
      </w:r>
      <w:r w:rsidRPr="00575A42">
        <w:rPr>
          <w:szCs w:val="24"/>
          <w:lang w:val="en-IE"/>
        </w:rPr>
        <w:t xml:space="preserve"> as regards on-going work to ensure the availability in electronic format of the records to be kept by professional users of plant protection products pursuant to Article 67(1) of Regulation (EC) No 1107/2009:</w:t>
      </w:r>
    </w:p>
    <w:p w14:paraId="3AA7C575" w14:textId="77777777" w:rsidR="002D43F9" w:rsidRPr="00947C7C" w:rsidRDefault="002D43F9" w:rsidP="002D43F9">
      <w:pPr>
        <w:spacing w:after="120" w:line="240" w:lineRule="auto"/>
        <w:jc w:val="both"/>
        <w:rPr>
          <w:lang w:val="en-IE"/>
        </w:rPr>
      </w:pPr>
      <w:r w:rsidRPr="00947C7C">
        <w:rPr>
          <w:lang w:val="en-GB"/>
        </w:rPr>
        <w:t>“</w:t>
      </w:r>
      <w:r w:rsidRPr="00947C7C">
        <w:rPr>
          <w:lang w:val="en-IE"/>
        </w:rPr>
        <w:t xml:space="preserve">The </w:t>
      </w:r>
      <w:r w:rsidRPr="00947C7C">
        <w:rPr>
          <w:szCs w:val="19"/>
          <w:lang w:val="en-IE"/>
        </w:rPr>
        <w:t>European</w:t>
      </w:r>
      <w:r w:rsidRPr="00947C7C">
        <w:rPr>
          <w:lang w:val="en-IE"/>
        </w:rPr>
        <w:t xml:space="preserve"> Green Deal and the Farm to Fork Strategy establish a reduction in the use and risk of chemical pesticides as a key objective for the Union. In order to ensure effective and impactful policies, robust and comprehensive data on the use of pesticides at farm level is crucial. The on-going work to ensure the availability in electronic format of the records kept by professional users of plant protection products is an important enabling factor to implementing the reporting obligations on pesticides that are part of Regulation (EU) .../... of the European Parliament and of the Council</w:t>
      </w:r>
      <w:r w:rsidRPr="00947C7C">
        <w:rPr>
          <w:rStyle w:val="FootnoteReference"/>
        </w:rPr>
        <w:footnoteReference w:id="2"/>
      </w:r>
      <w:r w:rsidRPr="00947C7C">
        <w:rPr>
          <w:rStyle w:val="FootnoteReference"/>
        </w:rPr>
        <w:footnoteReference w:customMarkFollows="1" w:id="3"/>
        <w:sym w:font="Symbol" w:char="F02B"/>
      </w:r>
      <w:r w:rsidRPr="00947C7C">
        <w:rPr>
          <w:rStyle w:val="FootnoteReference"/>
        </w:rPr>
        <w:sym w:font="Symbol" w:char="F02B"/>
      </w:r>
      <w:r w:rsidRPr="00947C7C">
        <w:rPr>
          <w:lang w:val="en-IE"/>
        </w:rPr>
        <w:t xml:space="preserve"> (SAIO).</w:t>
      </w:r>
    </w:p>
    <w:p w14:paraId="5AACA1BA" w14:textId="77777777" w:rsidR="002D43F9" w:rsidRPr="00947C7C" w:rsidRDefault="002D43F9" w:rsidP="002D43F9">
      <w:pPr>
        <w:spacing w:after="120" w:line="240" w:lineRule="auto"/>
        <w:jc w:val="both"/>
        <w:rPr>
          <w:lang w:val="en-IE"/>
        </w:rPr>
      </w:pPr>
      <w:r w:rsidRPr="00947C7C">
        <w:rPr>
          <w:lang w:val="en-IE"/>
        </w:rPr>
        <w:t>Therefore, the Commission has prepared a draft Commission Implementing Regulation, on the basis of Article 67(4) of Regulation (EC) No 1107/2009 of the European Parliament and of the Council</w:t>
      </w:r>
      <w:r w:rsidRPr="00947C7C">
        <w:rPr>
          <w:rStyle w:val="FootnoteReference"/>
        </w:rPr>
        <w:footnoteReference w:id="4"/>
      </w:r>
      <w:r w:rsidRPr="00947C7C">
        <w:rPr>
          <w:lang w:val="en-IE"/>
        </w:rPr>
        <w:t>, as regards the content and format of the records of the use of plant protection products to be kept by professional users in accordance with Article 67(1) of Regulation (EC) No 1107/2009.</w:t>
      </w:r>
    </w:p>
    <w:p w14:paraId="4C87F4FB" w14:textId="77777777" w:rsidR="002D43F9" w:rsidRPr="00947C7C" w:rsidRDefault="002D43F9" w:rsidP="002D43F9">
      <w:pPr>
        <w:spacing w:after="120" w:line="240" w:lineRule="auto"/>
        <w:jc w:val="both"/>
        <w:rPr>
          <w:lang w:val="en-IE"/>
        </w:rPr>
      </w:pPr>
      <w:r w:rsidRPr="00947C7C">
        <w:rPr>
          <w:lang w:val="en-IE"/>
        </w:rPr>
        <w:t>That Implementing Regulation would, if adopted as currently foreseen, regulate the record-keeping required under Regulation (EC) No 1107/2009 in detail, including by identifying the elements to be recorded by the professional users, and by ensuring that those records will be available in electronic format from 1 January 2025 at the latest.</w:t>
      </w:r>
    </w:p>
    <w:p w14:paraId="7E79299F" w14:textId="77777777" w:rsidR="002D43F9" w:rsidRPr="00947C7C" w:rsidRDefault="002D43F9" w:rsidP="002D43F9">
      <w:pPr>
        <w:spacing w:after="120" w:line="240" w:lineRule="auto"/>
        <w:jc w:val="both"/>
        <w:rPr>
          <w:lang w:val="en-IE"/>
        </w:rPr>
      </w:pPr>
      <w:r w:rsidRPr="00947C7C">
        <w:rPr>
          <w:lang w:val="en-IE"/>
        </w:rPr>
        <w:t>The draft of that Implementing Regulation is currently under discussion in the Standing Committee on Plants, Animals, Food and Feed, Section Phytopharmaceuticals - Legislation. The Commission intends to seek the opinion of the committee pursuant to Article 5 of Regulation (EU) No 182/2011 of the European Parliament and of the Council</w:t>
      </w:r>
      <w:r w:rsidRPr="00947C7C">
        <w:rPr>
          <w:rStyle w:val="FootnoteReference"/>
        </w:rPr>
        <w:footnoteReference w:id="5"/>
      </w:r>
      <w:r w:rsidRPr="00947C7C">
        <w:rPr>
          <w:lang w:val="en-IE"/>
        </w:rPr>
        <w:t xml:space="preserve"> in the coming months.</w:t>
      </w:r>
    </w:p>
    <w:p w14:paraId="22E7FFCF" w14:textId="44A1409E" w:rsidR="002D43F9" w:rsidRPr="00947C7C" w:rsidRDefault="002D43F9" w:rsidP="002D43F9">
      <w:pPr>
        <w:spacing w:after="240"/>
        <w:jc w:val="both"/>
        <w:rPr>
          <w:color w:val="000000"/>
          <w:szCs w:val="24"/>
          <w:lang w:val="en-GB"/>
        </w:rPr>
      </w:pPr>
      <w:r w:rsidRPr="00947C7C">
        <w:rPr>
          <w:lang w:val="en-IE"/>
        </w:rPr>
        <w:t>The Commission intends to adopt that Implementing Regulation before the end of 2022.”</w:t>
      </w:r>
    </w:p>
    <w:p w14:paraId="5DD30791" w14:textId="77777777" w:rsidR="00652260" w:rsidRPr="00FC0CF0" w:rsidRDefault="00CE4EF1" w:rsidP="00652260">
      <w:pPr>
        <w:spacing w:after="240" w:line="240" w:lineRule="auto"/>
        <w:jc w:val="center"/>
        <w:rPr>
          <w:lang w:val="en-GB"/>
        </w:rPr>
      </w:pPr>
      <w:r>
        <w:rPr>
          <w:szCs w:val="24"/>
          <w:lang w:val="en-IE"/>
        </w:rPr>
        <w:br w:type="page"/>
      </w:r>
      <w:r w:rsidR="00652260" w:rsidRPr="00FC0CF0">
        <w:rPr>
          <w:b/>
          <w:lang w:val="en-GB"/>
        </w:rPr>
        <w:t xml:space="preserve">ORDINARY LEGISLATIVE </w:t>
      </w:r>
      <w:r w:rsidR="00652260" w:rsidRPr="00FC0CF0">
        <w:rPr>
          <w:b/>
          <w:caps/>
          <w:lang w:val="en-GB"/>
        </w:rPr>
        <w:t>procedure</w:t>
      </w:r>
      <w:r w:rsidR="00652260" w:rsidRPr="00FC0CF0">
        <w:rPr>
          <w:b/>
          <w:lang w:val="en-GB"/>
        </w:rPr>
        <w:t xml:space="preserve"> – First reading</w:t>
      </w:r>
    </w:p>
    <w:p w14:paraId="03D63EEB" w14:textId="77777777" w:rsidR="00652260" w:rsidRPr="004D289F" w:rsidRDefault="00652260" w:rsidP="00652260">
      <w:pPr>
        <w:spacing w:after="600"/>
        <w:jc w:val="center"/>
        <w:rPr>
          <w:b/>
          <w:bCs/>
          <w:lang w:val="en-GB"/>
        </w:rPr>
      </w:pPr>
      <w:bookmarkStart w:id="8" w:name="POPS"/>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4D289F">
        <w:rPr>
          <w:b/>
          <w:bCs/>
          <w:lang w:val="en-GB"/>
        </w:rPr>
        <w:t>on the proposal for a regulation of the European Parliament and of the Council amending Annexes IV and V to Regulation (EU) 2019/1021 of the European Parliament and of the Council on persistent organic pollutants</w:t>
      </w:r>
      <w:bookmarkEnd w:id="8"/>
    </w:p>
    <w:p w14:paraId="4D385D71" w14:textId="77777777" w:rsidR="00652260" w:rsidRPr="00D824A0" w:rsidRDefault="00652260" w:rsidP="00652260">
      <w:pPr>
        <w:spacing w:after="240"/>
        <w:ind w:left="567" w:hanging="567"/>
        <w:jc w:val="both"/>
        <w:rPr>
          <w:szCs w:val="24"/>
        </w:rPr>
      </w:pPr>
      <w:r w:rsidRPr="00D824A0">
        <w:rPr>
          <w:b/>
        </w:rPr>
        <w:t>1.</w:t>
      </w:r>
      <w:r w:rsidRPr="00D824A0">
        <w:rPr>
          <w:b/>
        </w:rPr>
        <w:tab/>
        <w:t xml:space="preserve">Rapporteur: </w:t>
      </w:r>
      <w:r w:rsidRPr="004D289F">
        <w:rPr>
          <w:noProof/>
          <w:szCs w:val="24"/>
        </w:rPr>
        <w:t xml:space="preserve">Martin HOJSÍK </w:t>
      </w:r>
      <w:r w:rsidRPr="00D824A0">
        <w:rPr>
          <w:color w:val="1E1E1F"/>
          <w:szCs w:val="24"/>
        </w:rPr>
        <w:t>(</w:t>
      </w:r>
      <w:r>
        <w:rPr>
          <w:color w:val="1E1E1F"/>
          <w:szCs w:val="24"/>
        </w:rPr>
        <w:t>Renew</w:t>
      </w:r>
      <w:r w:rsidRPr="00D824A0">
        <w:rPr>
          <w:color w:val="1E1E1F"/>
          <w:szCs w:val="24"/>
        </w:rPr>
        <w:t xml:space="preserve"> / </w:t>
      </w:r>
      <w:r>
        <w:rPr>
          <w:color w:val="1E1E1F"/>
          <w:szCs w:val="24"/>
        </w:rPr>
        <w:t>SK</w:t>
      </w:r>
      <w:r w:rsidRPr="00D824A0">
        <w:rPr>
          <w:color w:val="1E1E1F"/>
          <w:szCs w:val="24"/>
        </w:rPr>
        <w:t>)</w:t>
      </w:r>
    </w:p>
    <w:p w14:paraId="06658801" w14:textId="77777777" w:rsidR="00652260" w:rsidRPr="00F42D18" w:rsidRDefault="00652260" w:rsidP="00652260">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21</w:t>
      </w:r>
      <w:r w:rsidRPr="00AC338E">
        <w:rPr>
          <w:lang w:val="en-GB"/>
        </w:rPr>
        <w:t>/0</w:t>
      </w:r>
      <w:r>
        <w:rPr>
          <w:lang w:val="en-GB"/>
        </w:rPr>
        <w:t>340</w:t>
      </w:r>
      <w:r w:rsidRPr="00AC338E">
        <w:rPr>
          <w:lang w:val="en-GB"/>
        </w:rPr>
        <w:t xml:space="preserve"> (COD) </w:t>
      </w:r>
      <w:r w:rsidRPr="006957A3">
        <w:rPr>
          <w:lang w:val="en-GB"/>
        </w:rPr>
        <w:t xml:space="preserve">/ </w:t>
      </w:r>
      <w:r>
        <w:rPr>
          <w:lang w:val="en-GB"/>
        </w:rPr>
        <w:t>A9-0092/2022 / P9_TA</w:t>
      </w:r>
      <w:r w:rsidRPr="006957A3">
        <w:rPr>
          <w:lang w:val="en-GB"/>
        </w:rPr>
        <w:t>(2022)0</w:t>
      </w:r>
      <w:r>
        <w:rPr>
          <w:lang w:val="en-GB"/>
        </w:rPr>
        <w:t>342</w:t>
      </w:r>
    </w:p>
    <w:p w14:paraId="001F3A93" w14:textId="77777777" w:rsidR="00652260" w:rsidRPr="00FC0CF0" w:rsidRDefault="00652260" w:rsidP="00652260">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4 October </w:t>
      </w:r>
      <w:r w:rsidRPr="007859CD">
        <w:rPr>
          <w:lang w:val="en-GB"/>
        </w:rPr>
        <w:t>202</w:t>
      </w:r>
      <w:r>
        <w:rPr>
          <w:lang w:val="en-GB"/>
        </w:rPr>
        <w:t>2</w:t>
      </w:r>
    </w:p>
    <w:p w14:paraId="4916D352" w14:textId="77777777" w:rsidR="00652260" w:rsidRPr="00FD5BA5" w:rsidRDefault="00652260" w:rsidP="00652260">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 xml:space="preserve">Article </w:t>
      </w:r>
      <w:r>
        <w:rPr>
          <w:szCs w:val="24"/>
          <w:lang w:val="en-GB"/>
        </w:rPr>
        <w:t>192</w:t>
      </w:r>
      <w:r w:rsidRPr="0036264F">
        <w:rPr>
          <w:szCs w:val="24"/>
          <w:lang w:val="en-GB"/>
        </w:rPr>
        <w:t>(</w:t>
      </w:r>
      <w:r>
        <w:rPr>
          <w:szCs w:val="24"/>
          <w:lang w:val="en-GB"/>
        </w:rPr>
        <w:t>1</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0BB5DA4B" w14:textId="77777777" w:rsidR="00652260" w:rsidRPr="00FC0CF0" w:rsidRDefault="00652260" w:rsidP="00652260">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Environment, Public Health and Food Safety (ENVI)</w:t>
      </w:r>
    </w:p>
    <w:p w14:paraId="09DCF3B5" w14:textId="10E5C029" w:rsidR="000A0E88" w:rsidRPr="000A0E88" w:rsidRDefault="00652260" w:rsidP="000A0E88">
      <w:pPr>
        <w:spacing w:after="120"/>
        <w:ind w:left="567" w:hanging="567"/>
        <w:jc w:val="both"/>
        <w:rPr>
          <w:u w:val="single"/>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0A0E88">
        <w:rPr>
          <w:color w:val="000000"/>
          <w:szCs w:val="24"/>
          <w:lang w:val="en-GB"/>
        </w:rPr>
        <w:t xml:space="preserve"> The </w:t>
      </w:r>
      <w:r w:rsidR="000A0E88" w:rsidRPr="000A0E88">
        <w:rPr>
          <w:lang w:val="en-GB"/>
        </w:rPr>
        <w:t xml:space="preserve">Commission </w:t>
      </w:r>
      <w:r w:rsidR="000A0E88">
        <w:rPr>
          <w:lang w:val="en-GB"/>
        </w:rPr>
        <w:t xml:space="preserve">presented the following </w:t>
      </w:r>
      <w:r w:rsidR="000A0E88" w:rsidRPr="000A0E88">
        <w:rPr>
          <w:lang w:val="en-GB"/>
        </w:rPr>
        <w:t>statement on inclusion of waste code 17 05 04 “soil and stones other than those mentioned in 17 05 03” in part 2 of Annex V of Regulation (EU) 2019/1021</w:t>
      </w:r>
    </w:p>
    <w:p w14:paraId="7C7E1C66" w14:textId="20C9715A" w:rsidR="000A0E88" w:rsidRPr="0043644C" w:rsidRDefault="000A0E88" w:rsidP="000A0E88">
      <w:pPr>
        <w:pStyle w:val="Text1"/>
        <w:spacing w:after="120"/>
        <w:ind w:left="0"/>
      </w:pPr>
      <w:r>
        <w:t>“</w:t>
      </w:r>
      <w:r w:rsidRPr="0043644C">
        <w:t>The inclusion in part 2 of Annex V of the waste code for “soils and stones other than those mentioned in 170503” should not be understood to favour disposal of soil as waste over remediation in view o</w:t>
      </w:r>
      <w:r>
        <w:t>f preventing waste generation.</w:t>
      </w:r>
    </w:p>
    <w:p w14:paraId="0D14775C" w14:textId="7BA080A8" w:rsidR="000A0E88" w:rsidRPr="0043644C" w:rsidRDefault="000A0E88" w:rsidP="000A0E88">
      <w:pPr>
        <w:pStyle w:val="Text1"/>
        <w:spacing w:after="120"/>
        <w:ind w:left="0"/>
      </w:pPr>
      <w:r w:rsidRPr="0043644C">
        <w:t>Where disposal offers the best environmental waste management option, the exceptional derogation from destructive treatment is subject to the requirements of Article 7(4) of the Regulation (EU) 2019/1021</w:t>
      </w:r>
      <w:r>
        <w:t>”</w:t>
      </w:r>
      <w:r w:rsidRPr="0043644C">
        <w:t>.</w:t>
      </w:r>
    </w:p>
    <w:p w14:paraId="1373156A" w14:textId="0A556A55" w:rsidR="00652260" w:rsidRPr="00FC0CF0" w:rsidRDefault="00652260" w:rsidP="00652260">
      <w:pPr>
        <w:spacing w:after="240" w:line="240" w:lineRule="auto"/>
        <w:jc w:val="center"/>
        <w:rPr>
          <w:lang w:val="en-GB"/>
        </w:rPr>
      </w:pPr>
      <w:r>
        <w:rPr>
          <w:szCs w:val="24"/>
          <w:lang w:val="en-IE"/>
        </w:rPr>
        <w:br w:type="page"/>
      </w:r>
      <w:r w:rsidRPr="00FC0CF0">
        <w:rPr>
          <w:b/>
          <w:lang w:val="en-GB"/>
        </w:rPr>
        <w:t xml:space="preserve">ORDINARY LEGISLATIVE </w:t>
      </w:r>
      <w:r w:rsidRPr="00FC0CF0">
        <w:rPr>
          <w:b/>
          <w:caps/>
          <w:lang w:val="en-GB"/>
        </w:rPr>
        <w:t>procedure</w:t>
      </w:r>
      <w:r w:rsidRPr="00FC0CF0">
        <w:rPr>
          <w:b/>
          <w:lang w:val="en-GB"/>
        </w:rPr>
        <w:t xml:space="preserve"> – First reading</w:t>
      </w:r>
    </w:p>
    <w:p w14:paraId="41094A51" w14:textId="77777777" w:rsidR="00652260" w:rsidRPr="004401A1" w:rsidRDefault="00652260" w:rsidP="00652260">
      <w:pPr>
        <w:spacing w:after="600"/>
        <w:jc w:val="center"/>
        <w:rPr>
          <w:b/>
          <w:bCs/>
          <w:lang w:val="en-GB"/>
        </w:rPr>
      </w:pPr>
      <w:bookmarkStart w:id="9" w:name="Slots"/>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A61FB1">
        <w:rPr>
          <w:b/>
          <w:bCs/>
          <w:lang w:val="en-GB"/>
        </w:rPr>
        <w:t xml:space="preserve">on the proposal for a </w:t>
      </w:r>
      <w:r>
        <w:rPr>
          <w:b/>
          <w:bCs/>
          <w:lang w:val="en-GB"/>
        </w:rPr>
        <w:t>regulation</w:t>
      </w:r>
      <w:r w:rsidRPr="00A61FB1">
        <w:rPr>
          <w:b/>
          <w:bCs/>
          <w:lang w:val="en-GB"/>
        </w:rPr>
        <w:t xml:space="preserve"> of the European Parliament and of the Council </w:t>
      </w:r>
      <w:r w:rsidRPr="004401A1">
        <w:rPr>
          <w:b/>
          <w:bCs/>
          <w:lang w:val="en-GB"/>
        </w:rPr>
        <w:t>amending Council Regulation (EEC) No 95/93 as regards temporary relief from the slot utilisation rules at Community airports due to the COVID-19 pandemic</w:t>
      </w:r>
      <w:bookmarkEnd w:id="9"/>
    </w:p>
    <w:p w14:paraId="1C74D1DB" w14:textId="77777777" w:rsidR="00652260" w:rsidRPr="00D824A0" w:rsidRDefault="00652260" w:rsidP="00652260">
      <w:pPr>
        <w:spacing w:after="240"/>
        <w:ind w:left="567" w:hanging="567"/>
        <w:jc w:val="both"/>
        <w:rPr>
          <w:szCs w:val="24"/>
        </w:rPr>
      </w:pPr>
      <w:r w:rsidRPr="00D824A0">
        <w:rPr>
          <w:b/>
        </w:rPr>
        <w:t>1.</w:t>
      </w:r>
      <w:r w:rsidRPr="00D824A0">
        <w:rPr>
          <w:b/>
        </w:rPr>
        <w:tab/>
        <w:t xml:space="preserve">Rapporteur: </w:t>
      </w:r>
      <w:r w:rsidRPr="00436EE5">
        <w:rPr>
          <w:noProof/>
          <w:szCs w:val="24"/>
        </w:rPr>
        <w:t xml:space="preserve">Dominique RIQUET </w:t>
      </w:r>
      <w:r w:rsidRPr="00D824A0">
        <w:rPr>
          <w:color w:val="1E1E1F"/>
          <w:szCs w:val="24"/>
        </w:rPr>
        <w:t>(</w:t>
      </w:r>
      <w:r>
        <w:rPr>
          <w:color w:val="1E1E1F"/>
          <w:szCs w:val="24"/>
        </w:rPr>
        <w:t>Renew</w:t>
      </w:r>
      <w:r w:rsidRPr="00D824A0">
        <w:rPr>
          <w:color w:val="1E1E1F"/>
          <w:szCs w:val="24"/>
        </w:rPr>
        <w:t xml:space="preserve"> / </w:t>
      </w:r>
      <w:r>
        <w:rPr>
          <w:color w:val="1E1E1F"/>
          <w:szCs w:val="24"/>
        </w:rPr>
        <w:t>FR</w:t>
      </w:r>
      <w:r w:rsidRPr="00D824A0">
        <w:rPr>
          <w:color w:val="1E1E1F"/>
          <w:szCs w:val="24"/>
        </w:rPr>
        <w:t>)</w:t>
      </w:r>
    </w:p>
    <w:p w14:paraId="48A37C86" w14:textId="77777777" w:rsidR="00652260" w:rsidRPr="00F42D18" w:rsidRDefault="00652260" w:rsidP="00652260">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22</w:t>
      </w:r>
      <w:r w:rsidRPr="00AC338E">
        <w:rPr>
          <w:lang w:val="en-GB"/>
        </w:rPr>
        <w:t>/0</w:t>
      </w:r>
      <w:r>
        <w:rPr>
          <w:lang w:val="en-GB"/>
        </w:rPr>
        <w:t>214</w:t>
      </w:r>
      <w:r w:rsidRPr="00AC338E">
        <w:rPr>
          <w:lang w:val="en-GB"/>
        </w:rPr>
        <w:t xml:space="preserve"> (COD) </w:t>
      </w:r>
      <w:r w:rsidRPr="006957A3">
        <w:rPr>
          <w:lang w:val="en-GB"/>
        </w:rPr>
        <w:t xml:space="preserve">/ </w:t>
      </w:r>
      <w:r>
        <w:rPr>
          <w:lang w:val="en-GB"/>
        </w:rPr>
        <w:t>P9_TA</w:t>
      </w:r>
      <w:r w:rsidRPr="006957A3">
        <w:rPr>
          <w:lang w:val="en-GB"/>
        </w:rPr>
        <w:t>(2022)0</w:t>
      </w:r>
      <w:r>
        <w:rPr>
          <w:lang w:val="en-GB"/>
        </w:rPr>
        <w:t>348</w:t>
      </w:r>
    </w:p>
    <w:p w14:paraId="42ED02D6" w14:textId="77777777" w:rsidR="00652260" w:rsidRPr="00FC0CF0" w:rsidRDefault="00652260" w:rsidP="00652260">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6 October </w:t>
      </w:r>
      <w:r w:rsidRPr="007859CD">
        <w:rPr>
          <w:lang w:val="en-GB"/>
        </w:rPr>
        <w:t>202</w:t>
      </w:r>
      <w:r>
        <w:rPr>
          <w:lang w:val="en-GB"/>
        </w:rPr>
        <w:t>2</w:t>
      </w:r>
    </w:p>
    <w:p w14:paraId="1992A3A3" w14:textId="77777777" w:rsidR="00652260" w:rsidRPr="00FD5BA5" w:rsidRDefault="00652260" w:rsidP="00652260">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 xml:space="preserve">Article </w:t>
      </w:r>
      <w:r>
        <w:rPr>
          <w:szCs w:val="24"/>
          <w:lang w:val="en-GB"/>
        </w:rPr>
        <w:t>91</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299C5A2A" w14:textId="77777777" w:rsidR="00652260" w:rsidRPr="00FC0CF0" w:rsidRDefault="00652260" w:rsidP="00652260">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Transport and Tourism (TRAN)</w:t>
      </w:r>
    </w:p>
    <w:p w14:paraId="0AC9A6CD" w14:textId="6E3BCEB4" w:rsidR="00652260" w:rsidRDefault="00652260" w:rsidP="00652260">
      <w:pPr>
        <w:spacing w:after="200" w:line="276" w:lineRule="auto"/>
        <w:rPr>
          <w:szCs w:val="24"/>
          <w:lang w:val="en-IE"/>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Pr>
          <w:szCs w:val="24"/>
          <w:lang w:val="en-IE"/>
        </w:rPr>
        <w:br w:type="page"/>
      </w:r>
    </w:p>
    <w:p w14:paraId="4F05E7F2" w14:textId="77777777" w:rsidR="00C10B8E" w:rsidRPr="00135201" w:rsidRDefault="00C10B8E" w:rsidP="00C10B8E">
      <w:pPr>
        <w:spacing w:after="200" w:line="276" w:lineRule="auto"/>
        <w:jc w:val="center"/>
        <w:rPr>
          <w:szCs w:val="24"/>
          <w:lang w:val="en-IE"/>
        </w:rPr>
      </w:pPr>
    </w:p>
    <w:p w14:paraId="7AAD7343" w14:textId="77777777" w:rsidR="00B71FF0" w:rsidRPr="00EE64E6" w:rsidRDefault="00B71FF0" w:rsidP="00B71FF0">
      <w:pPr>
        <w:spacing w:before="5040" w:line="240" w:lineRule="auto"/>
        <w:jc w:val="center"/>
        <w:rPr>
          <w:b/>
          <w:sz w:val="48"/>
          <w:lang w:val="en-GB"/>
        </w:rPr>
      </w:pPr>
      <w:bookmarkStart w:id="10" w:name="PARTTWO"/>
      <w:r w:rsidRPr="00EE64E6">
        <w:rPr>
          <w:b/>
          <w:sz w:val="48"/>
          <w:lang w:val="en-GB"/>
        </w:rPr>
        <w:t>Part Two</w:t>
      </w:r>
      <w:r w:rsidRPr="00EE64E6">
        <w:rPr>
          <w:lang w:val="en-GB"/>
        </w:rPr>
        <w:br/>
      </w:r>
      <w:r w:rsidRPr="00EE64E6">
        <w:rPr>
          <w:b/>
          <w:sz w:val="48"/>
          <w:lang w:val="en-GB"/>
        </w:rPr>
        <w:t>Non-legislative resolutions</w:t>
      </w:r>
    </w:p>
    <w:bookmarkEnd w:id="10"/>
    <w:p w14:paraId="51B4AB06" w14:textId="77777777" w:rsidR="007A1930" w:rsidRDefault="007A1930" w:rsidP="00B71FF0">
      <w:pPr>
        <w:spacing w:after="600" w:line="240" w:lineRule="auto"/>
        <w:jc w:val="center"/>
        <w:rPr>
          <w:lang w:val="en-GB"/>
        </w:rPr>
      </w:pPr>
    </w:p>
    <w:p w14:paraId="6B2BC70D" w14:textId="02168AF0"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t xml:space="preserve">THE COMMISSION DOES NOT INTEND TO RESPOND FORMALLY TO THE FOLLOWING NON-LEGISLATIVE RESOLUTIONS, ADOPTED BY THE </w:t>
      </w:r>
      <w:r w:rsidR="008600BB">
        <w:rPr>
          <w:b/>
          <w:sz w:val="22"/>
          <w:lang w:val="en-GB"/>
        </w:rPr>
        <w:br/>
      </w:r>
      <w:r w:rsidRPr="00EE64E6">
        <w:rPr>
          <w:b/>
          <w:sz w:val="22"/>
          <w:lang w:val="en-GB"/>
        </w:rPr>
        <w:t xml:space="preserve">EUROPEAN </w:t>
      </w:r>
      <w:r w:rsidRPr="00C44E52">
        <w:rPr>
          <w:b/>
          <w:sz w:val="22"/>
          <w:lang w:val="en-GB"/>
        </w:rPr>
        <w:t xml:space="preserve">PARLIAMENT DURING THE </w:t>
      </w:r>
      <w:r w:rsidR="000F6B0B">
        <w:rPr>
          <w:b/>
          <w:sz w:val="22"/>
          <w:lang w:val="en-GB"/>
        </w:rPr>
        <w:t>OCTOBER I</w:t>
      </w:r>
      <w:r w:rsidR="003C6DA8" w:rsidRPr="00C44E52">
        <w:rPr>
          <w:b/>
          <w:sz w:val="22"/>
          <w:lang w:val="en-GB"/>
        </w:rPr>
        <w:t xml:space="preserve"> 20</w:t>
      </w:r>
      <w:r w:rsidR="000729D8">
        <w:rPr>
          <w:b/>
          <w:sz w:val="22"/>
          <w:lang w:val="en-GB"/>
        </w:rPr>
        <w:t>2</w:t>
      </w:r>
      <w:r w:rsidR="003349DD">
        <w:rPr>
          <w:b/>
          <w:sz w:val="22"/>
          <w:lang w:val="en-GB"/>
        </w:rPr>
        <w:t>2</w:t>
      </w:r>
      <w:r w:rsidR="003C6DA8" w:rsidRPr="00C44E52">
        <w:rPr>
          <w:b/>
          <w:sz w:val="22"/>
          <w:lang w:val="en-GB"/>
        </w:rPr>
        <w:t xml:space="preserve"> </w:t>
      </w:r>
      <w:r w:rsidRPr="00C44E52">
        <w:rPr>
          <w:b/>
          <w:sz w:val="22"/>
          <w:lang w:val="en-GB"/>
        </w:rPr>
        <w:t>PART-SESSION</w:t>
      </w:r>
    </w:p>
    <w:p w14:paraId="0643C31E" w14:textId="22D54983" w:rsidR="000F6B0B" w:rsidRPr="000F6B0B" w:rsidRDefault="000F6B0B" w:rsidP="006F4DC1">
      <w:pPr>
        <w:pStyle w:val="ListParagraph"/>
        <w:numPr>
          <w:ilvl w:val="0"/>
          <w:numId w:val="38"/>
        </w:numPr>
        <w:spacing w:after="120" w:line="240" w:lineRule="auto"/>
        <w:jc w:val="both"/>
        <w:rPr>
          <w:noProof/>
          <w:lang w:val="en-GB"/>
        </w:rPr>
      </w:pPr>
      <w:r w:rsidRPr="000F6B0B">
        <w:rPr>
          <w:noProof/>
          <w:lang w:val="en-GB"/>
        </w:rPr>
        <w:t>Access to water as a human right – the external dimension (2021/2187 (INI))</w:t>
      </w:r>
    </w:p>
    <w:p w14:paraId="70A0FB5C" w14:textId="77777777" w:rsidR="000F6B0B" w:rsidRPr="004D053D" w:rsidRDefault="000F6B0B" w:rsidP="006F4DC1">
      <w:pPr>
        <w:pStyle w:val="ListParagraph"/>
        <w:spacing w:after="120" w:line="240" w:lineRule="auto"/>
        <w:jc w:val="both"/>
        <w:rPr>
          <w:noProof/>
        </w:rPr>
      </w:pPr>
      <w:r w:rsidRPr="004D053D">
        <w:rPr>
          <w:noProof/>
        </w:rPr>
        <w:t>EP: A9-0231/2022</w:t>
      </w:r>
    </w:p>
    <w:p w14:paraId="6AD7F1BA" w14:textId="77777777" w:rsidR="000F6B0B" w:rsidRPr="004D053D" w:rsidRDefault="000F6B0B" w:rsidP="006F4DC1">
      <w:pPr>
        <w:pStyle w:val="ListParagraph"/>
        <w:spacing w:after="120" w:line="240" w:lineRule="auto"/>
        <w:jc w:val="both"/>
        <w:rPr>
          <w:noProof/>
        </w:rPr>
      </w:pPr>
      <w:r w:rsidRPr="004D053D">
        <w:rPr>
          <w:noProof/>
        </w:rPr>
        <w:t>Rapporteur: Miguel URBÁN CRESPO</w:t>
      </w:r>
    </w:p>
    <w:p w14:paraId="79616FC4" w14:textId="036BD047" w:rsidR="000F6B0B" w:rsidRPr="004D053D" w:rsidRDefault="000F6B0B" w:rsidP="006F4DC1">
      <w:pPr>
        <w:pStyle w:val="ListParagraph"/>
        <w:spacing w:after="120" w:line="240" w:lineRule="auto"/>
        <w:jc w:val="both"/>
        <w:rPr>
          <w:noProof/>
        </w:rPr>
      </w:pPr>
      <w:r w:rsidRPr="004D053D">
        <w:rPr>
          <w:noProof/>
        </w:rPr>
        <w:t>Date: 05-10-2022</w:t>
      </w:r>
    </w:p>
    <w:p w14:paraId="5A21E59E" w14:textId="0311B197" w:rsidR="00513A38" w:rsidRPr="004D053D" w:rsidRDefault="00513A38" w:rsidP="006F4DC1">
      <w:pPr>
        <w:pStyle w:val="ListParagraph"/>
        <w:spacing w:after="120" w:line="240" w:lineRule="auto"/>
        <w:jc w:val="both"/>
        <w:rPr>
          <w:noProof/>
        </w:rPr>
      </w:pPr>
      <w:r w:rsidRPr="004D053D">
        <w:rPr>
          <w:noProof/>
        </w:rPr>
        <w:t>Competence: Josep BORRELL FONTELLES</w:t>
      </w:r>
    </w:p>
    <w:p w14:paraId="2A09B481" w14:textId="0EDCEE40" w:rsidR="000F6B0B" w:rsidRPr="00A62EBA" w:rsidRDefault="000F6B0B" w:rsidP="001B4B42">
      <w:pPr>
        <w:spacing w:after="240" w:line="240" w:lineRule="auto"/>
        <w:ind w:left="720"/>
        <w:jc w:val="both"/>
        <w:rPr>
          <w:noProof/>
          <w:lang w:val="en-GB"/>
        </w:rPr>
      </w:pPr>
      <w:r w:rsidRPr="00A62EBA">
        <w:rPr>
          <w:noProof/>
          <w:lang w:val="en-GB"/>
        </w:rPr>
        <w:t xml:space="preserve">Reason: The Commission will not be responding formally to the requests addressed in the resolution as they were comprehensively addressed in plenary by </w:t>
      </w:r>
      <w:r w:rsidR="006F4DC1" w:rsidRPr="00A62EBA">
        <w:rPr>
          <w:noProof/>
          <w:lang w:val="en-GB"/>
        </w:rPr>
        <w:t>Commissioner</w:t>
      </w:r>
      <w:r w:rsidRPr="00A62EBA">
        <w:rPr>
          <w:noProof/>
          <w:lang w:val="en-GB"/>
        </w:rPr>
        <w:t xml:space="preserve"> Urpilainen, on behalf of the High Representative/Vice-President Borrell.</w:t>
      </w:r>
    </w:p>
    <w:p w14:paraId="3376DD57" w14:textId="6126FBD3" w:rsidR="000F6B0B" w:rsidRPr="000F6B0B" w:rsidRDefault="000F6B0B" w:rsidP="006F4DC1">
      <w:pPr>
        <w:pStyle w:val="ListParagraph"/>
        <w:numPr>
          <w:ilvl w:val="0"/>
          <w:numId w:val="38"/>
        </w:numPr>
        <w:spacing w:after="120" w:line="240" w:lineRule="auto"/>
        <w:jc w:val="both"/>
        <w:rPr>
          <w:noProof/>
          <w:lang w:val="en-GB"/>
        </w:rPr>
      </w:pPr>
      <w:r w:rsidRPr="000F6B0B">
        <w:rPr>
          <w:noProof/>
          <w:lang w:val="en-GB"/>
        </w:rPr>
        <w:t xml:space="preserve">The EU’s strategic relationship and partnership with the Horn of Africa </w:t>
      </w:r>
      <w:r>
        <w:rPr>
          <w:noProof/>
          <w:lang w:val="en-GB"/>
        </w:rPr>
        <w:br/>
      </w:r>
      <w:r w:rsidRPr="000F6B0B">
        <w:rPr>
          <w:noProof/>
          <w:lang w:val="en-GB"/>
        </w:rPr>
        <w:t>(2021/2206 (INI))</w:t>
      </w:r>
    </w:p>
    <w:p w14:paraId="72162732" w14:textId="77777777" w:rsidR="000F6B0B" w:rsidRPr="00143E66" w:rsidRDefault="000F6B0B" w:rsidP="006F4DC1">
      <w:pPr>
        <w:pStyle w:val="ListParagraph"/>
        <w:spacing w:after="120" w:line="240" w:lineRule="auto"/>
        <w:jc w:val="both"/>
        <w:rPr>
          <w:noProof/>
          <w:lang w:val="it-IT"/>
        </w:rPr>
      </w:pPr>
      <w:r w:rsidRPr="00143E66">
        <w:rPr>
          <w:noProof/>
          <w:lang w:val="it-IT"/>
        </w:rPr>
        <w:t xml:space="preserve">EP: A9-0207/2022 </w:t>
      </w:r>
    </w:p>
    <w:p w14:paraId="56EAAC23" w14:textId="77777777" w:rsidR="000F6B0B" w:rsidRPr="00143E66" w:rsidRDefault="000F6B0B" w:rsidP="006F4DC1">
      <w:pPr>
        <w:pStyle w:val="ListParagraph"/>
        <w:spacing w:after="120" w:line="240" w:lineRule="auto"/>
        <w:jc w:val="both"/>
        <w:rPr>
          <w:noProof/>
          <w:lang w:val="it-IT"/>
        </w:rPr>
      </w:pPr>
      <w:r w:rsidRPr="00143E66">
        <w:rPr>
          <w:noProof/>
          <w:lang w:val="it-IT"/>
        </w:rPr>
        <w:t>Rapporteur: Fabio Massimo CASTALDO</w:t>
      </w:r>
    </w:p>
    <w:p w14:paraId="03DAA80A" w14:textId="77777777" w:rsidR="000F6B0B" w:rsidRPr="000F6B0B" w:rsidRDefault="000F6B0B" w:rsidP="006F4DC1">
      <w:pPr>
        <w:pStyle w:val="ListParagraph"/>
        <w:spacing w:after="120" w:line="240" w:lineRule="auto"/>
        <w:jc w:val="both"/>
        <w:rPr>
          <w:noProof/>
          <w:lang w:val="en-GB"/>
        </w:rPr>
      </w:pPr>
      <w:r w:rsidRPr="000F6B0B">
        <w:rPr>
          <w:noProof/>
          <w:lang w:val="en-GB"/>
        </w:rPr>
        <w:t>Date: 05-10-2022</w:t>
      </w:r>
    </w:p>
    <w:p w14:paraId="766D3BA1" w14:textId="77777777" w:rsidR="000F6B0B" w:rsidRPr="000F6B0B" w:rsidRDefault="000F6B0B" w:rsidP="006F4DC1">
      <w:pPr>
        <w:pStyle w:val="ListParagraph"/>
        <w:spacing w:after="120" w:line="240" w:lineRule="auto"/>
        <w:jc w:val="both"/>
        <w:rPr>
          <w:noProof/>
          <w:lang w:val="en-GB"/>
        </w:rPr>
      </w:pPr>
      <w:r w:rsidRPr="000F6B0B">
        <w:rPr>
          <w:noProof/>
          <w:lang w:val="en-GB"/>
        </w:rPr>
        <w:t>Competence: Josep BORRELL FONTELLES</w:t>
      </w:r>
    </w:p>
    <w:p w14:paraId="579591F0" w14:textId="654B3364" w:rsidR="000F6B0B" w:rsidRPr="00A62EBA" w:rsidRDefault="000F6B0B" w:rsidP="001B4B42">
      <w:pPr>
        <w:spacing w:after="240" w:line="240" w:lineRule="auto"/>
        <w:ind w:left="720"/>
        <w:jc w:val="both"/>
        <w:rPr>
          <w:noProof/>
          <w:lang w:val="en-GB"/>
        </w:rPr>
      </w:pPr>
      <w:r w:rsidRPr="00A62EBA">
        <w:rPr>
          <w:noProof/>
          <w:lang w:val="en-GB"/>
        </w:rPr>
        <w:t>Reason: The Commission will not be responding formally to the requests addressed in the resolution as they were comprehen</w:t>
      </w:r>
      <w:r w:rsidR="006F4DC1" w:rsidRPr="00A62EBA">
        <w:rPr>
          <w:noProof/>
          <w:lang w:val="en-GB"/>
        </w:rPr>
        <w:t>sively addressed in plenary by Commissioner</w:t>
      </w:r>
      <w:r w:rsidRPr="00A62EBA">
        <w:rPr>
          <w:noProof/>
          <w:lang w:val="en-GB"/>
        </w:rPr>
        <w:t xml:space="preserve"> Urpilainen, on behalf of the High Representative/Vice-President Borrell.</w:t>
      </w:r>
    </w:p>
    <w:p w14:paraId="1BAA5471" w14:textId="40D55FE5" w:rsidR="000F6B0B" w:rsidRPr="000F6B0B" w:rsidRDefault="000F6B0B" w:rsidP="006F4DC1">
      <w:pPr>
        <w:pStyle w:val="ListParagraph"/>
        <w:numPr>
          <w:ilvl w:val="0"/>
          <w:numId w:val="38"/>
        </w:numPr>
        <w:spacing w:after="120" w:line="240" w:lineRule="auto"/>
        <w:jc w:val="both"/>
        <w:rPr>
          <w:noProof/>
          <w:lang w:val="en-GB"/>
        </w:rPr>
      </w:pPr>
      <w:r w:rsidRPr="000F6B0B">
        <w:rPr>
          <w:noProof/>
          <w:lang w:val="en-GB"/>
        </w:rPr>
        <w:t>The situation of human rights in Haiti in particular related to gang violence (2022/2856 (RSP))</w:t>
      </w:r>
    </w:p>
    <w:p w14:paraId="70762207" w14:textId="77777777" w:rsidR="000F6B0B" w:rsidRPr="001B4B42" w:rsidRDefault="000F6B0B" w:rsidP="006F4DC1">
      <w:pPr>
        <w:pStyle w:val="ListParagraph"/>
        <w:spacing w:after="120" w:line="240" w:lineRule="auto"/>
        <w:jc w:val="both"/>
        <w:rPr>
          <w:noProof/>
        </w:rPr>
      </w:pPr>
      <w:r w:rsidRPr="001B4B42">
        <w:rPr>
          <w:noProof/>
        </w:rPr>
        <w:t>EP: RC9-0427/2022</w:t>
      </w:r>
    </w:p>
    <w:p w14:paraId="7F046279" w14:textId="77777777" w:rsidR="000F6B0B" w:rsidRPr="001B4B42" w:rsidRDefault="000F6B0B" w:rsidP="006F4DC1">
      <w:pPr>
        <w:pStyle w:val="ListParagraph"/>
        <w:spacing w:after="120" w:line="240" w:lineRule="auto"/>
        <w:jc w:val="both"/>
        <w:rPr>
          <w:noProof/>
        </w:rPr>
      </w:pPr>
      <w:r w:rsidRPr="001B4B42">
        <w:rPr>
          <w:noProof/>
        </w:rPr>
        <w:t>Date: 06-10-2022</w:t>
      </w:r>
    </w:p>
    <w:p w14:paraId="6642A694" w14:textId="77777777" w:rsidR="000F6B0B" w:rsidRPr="001B4B42" w:rsidRDefault="000F6B0B" w:rsidP="006F4DC1">
      <w:pPr>
        <w:pStyle w:val="ListParagraph"/>
        <w:spacing w:after="120" w:line="240" w:lineRule="auto"/>
        <w:jc w:val="both"/>
        <w:rPr>
          <w:noProof/>
        </w:rPr>
      </w:pPr>
      <w:r w:rsidRPr="001B4B42">
        <w:rPr>
          <w:noProof/>
        </w:rPr>
        <w:t>Competence: Josep BORRELL FONTELLES</w:t>
      </w:r>
    </w:p>
    <w:p w14:paraId="25FD67E4" w14:textId="231AC02E" w:rsidR="000F6B0B" w:rsidRPr="00A62EBA" w:rsidRDefault="000F6B0B" w:rsidP="001B4B42">
      <w:pPr>
        <w:spacing w:after="240" w:line="240" w:lineRule="auto"/>
        <w:ind w:left="720"/>
        <w:jc w:val="both"/>
        <w:rPr>
          <w:noProof/>
          <w:lang w:val="en-GB"/>
        </w:rPr>
      </w:pPr>
      <w:r w:rsidRPr="00A62EBA">
        <w:rPr>
          <w:noProof/>
          <w:lang w:val="en-GB"/>
        </w:rPr>
        <w:t xml:space="preserve">Reason: The Commission will not be responding formally to the requests addressed in the resolution as they were comprehensively addressed in plenary by </w:t>
      </w:r>
      <w:r w:rsidR="006F4DC1" w:rsidRPr="00A62EBA">
        <w:rPr>
          <w:noProof/>
          <w:lang w:val="en-GB"/>
        </w:rPr>
        <w:t>Commissioner Wojciechowski</w:t>
      </w:r>
      <w:r w:rsidRPr="00A62EBA">
        <w:rPr>
          <w:noProof/>
          <w:lang w:val="en-GB"/>
        </w:rPr>
        <w:t>, on behalf of the High Representative/Vice-President Borrell.</w:t>
      </w:r>
    </w:p>
    <w:p w14:paraId="767E7119" w14:textId="343264C6" w:rsidR="000F6B0B" w:rsidRPr="000F6B0B" w:rsidRDefault="000F6B0B" w:rsidP="006F4DC1">
      <w:pPr>
        <w:pStyle w:val="ListParagraph"/>
        <w:numPr>
          <w:ilvl w:val="0"/>
          <w:numId w:val="38"/>
        </w:numPr>
        <w:spacing w:after="120" w:line="240" w:lineRule="auto"/>
        <w:jc w:val="both"/>
        <w:rPr>
          <w:noProof/>
          <w:lang w:val="en-GB"/>
        </w:rPr>
      </w:pPr>
      <w:r w:rsidRPr="000F6B0B">
        <w:rPr>
          <w:noProof/>
          <w:lang w:val="en-GB"/>
        </w:rPr>
        <w:t>The Media freedom crackdown in Myanmar, notably the cases of Htet Htet Khine, Sithu Aung Myint and Nyein Nyein Aye (2022/2857 (RSP))</w:t>
      </w:r>
    </w:p>
    <w:p w14:paraId="6BC5D546" w14:textId="77777777" w:rsidR="000F6B0B" w:rsidRPr="001B4B42" w:rsidRDefault="000F6B0B" w:rsidP="006F4DC1">
      <w:pPr>
        <w:pStyle w:val="ListParagraph"/>
        <w:spacing w:after="120" w:line="240" w:lineRule="auto"/>
        <w:jc w:val="both"/>
        <w:rPr>
          <w:noProof/>
        </w:rPr>
      </w:pPr>
      <w:r w:rsidRPr="001B4B42">
        <w:rPr>
          <w:noProof/>
        </w:rPr>
        <w:t>EP: RC9-0431/2022</w:t>
      </w:r>
    </w:p>
    <w:p w14:paraId="1F93CEC0" w14:textId="77777777" w:rsidR="000F6B0B" w:rsidRPr="001B4B42" w:rsidRDefault="000F6B0B" w:rsidP="006F4DC1">
      <w:pPr>
        <w:pStyle w:val="ListParagraph"/>
        <w:spacing w:after="120" w:line="240" w:lineRule="auto"/>
        <w:jc w:val="both"/>
        <w:rPr>
          <w:noProof/>
        </w:rPr>
      </w:pPr>
      <w:r w:rsidRPr="001B4B42">
        <w:rPr>
          <w:noProof/>
        </w:rPr>
        <w:t>Date: 06-10-2022</w:t>
      </w:r>
    </w:p>
    <w:p w14:paraId="046F5A05" w14:textId="77777777" w:rsidR="000F6B0B" w:rsidRPr="001B4B42" w:rsidRDefault="000F6B0B" w:rsidP="00E71FB5">
      <w:pPr>
        <w:pStyle w:val="ListParagraph"/>
        <w:spacing w:after="120" w:line="240" w:lineRule="auto"/>
        <w:contextualSpacing w:val="0"/>
        <w:jc w:val="both"/>
        <w:rPr>
          <w:noProof/>
        </w:rPr>
      </w:pPr>
      <w:r w:rsidRPr="001B4B42">
        <w:rPr>
          <w:noProof/>
        </w:rPr>
        <w:t>Competence: Josep BORRELL FONTELLES</w:t>
      </w:r>
    </w:p>
    <w:p w14:paraId="3EDD231F" w14:textId="12F13682" w:rsidR="000F6B0B" w:rsidRPr="00A62EBA" w:rsidRDefault="000F6B0B" w:rsidP="001B4B42">
      <w:pPr>
        <w:spacing w:after="240" w:line="240" w:lineRule="auto"/>
        <w:ind w:left="720"/>
        <w:jc w:val="both"/>
        <w:rPr>
          <w:noProof/>
          <w:lang w:val="en-GB"/>
        </w:rPr>
      </w:pPr>
      <w:r w:rsidRPr="00A62EBA">
        <w:rPr>
          <w:noProof/>
          <w:lang w:val="en-GB"/>
        </w:rPr>
        <w:t xml:space="preserve">Reason: The Commission will not be responding formally to the requests addressed in the resolution as they were comprehensively addressed in plenary by </w:t>
      </w:r>
      <w:r w:rsidR="006F4DC1" w:rsidRPr="00A62EBA">
        <w:rPr>
          <w:noProof/>
          <w:lang w:val="en-GB"/>
        </w:rPr>
        <w:t xml:space="preserve">Commissioner </w:t>
      </w:r>
      <w:r w:rsidRPr="00A62EBA">
        <w:rPr>
          <w:noProof/>
          <w:lang w:val="en-GB"/>
        </w:rPr>
        <w:t>Wojciechowski, on behalf of the High Representative/Vice-President Borrell.</w:t>
      </w:r>
    </w:p>
    <w:p w14:paraId="449923AB" w14:textId="66C492A5" w:rsidR="000F6B0B" w:rsidRPr="000F6B0B" w:rsidRDefault="000F6B0B" w:rsidP="00513A38">
      <w:pPr>
        <w:pStyle w:val="ListParagraph"/>
        <w:keepNext/>
        <w:keepLines/>
        <w:numPr>
          <w:ilvl w:val="0"/>
          <w:numId w:val="38"/>
        </w:numPr>
        <w:spacing w:after="120" w:line="240" w:lineRule="auto"/>
        <w:jc w:val="both"/>
        <w:rPr>
          <w:noProof/>
          <w:lang w:val="en-GB"/>
        </w:rPr>
      </w:pPr>
      <w:r w:rsidRPr="000F6B0B">
        <w:rPr>
          <w:noProof/>
          <w:lang w:val="en-GB"/>
        </w:rPr>
        <w:t>The recent humanitarian and human rights situation in Tigray, Ethiopia, notably that of children (2022/2858 (RSP))</w:t>
      </w:r>
    </w:p>
    <w:p w14:paraId="41FA34EE" w14:textId="77777777" w:rsidR="000F6B0B" w:rsidRPr="001B4B42" w:rsidRDefault="000F6B0B" w:rsidP="00513A38">
      <w:pPr>
        <w:pStyle w:val="ListParagraph"/>
        <w:keepNext/>
        <w:keepLines/>
        <w:spacing w:after="120" w:line="240" w:lineRule="auto"/>
        <w:jc w:val="both"/>
        <w:rPr>
          <w:noProof/>
        </w:rPr>
      </w:pPr>
      <w:r w:rsidRPr="001B4B42">
        <w:rPr>
          <w:noProof/>
        </w:rPr>
        <w:t>EP: RC9-0429/2022</w:t>
      </w:r>
    </w:p>
    <w:p w14:paraId="36CD7830" w14:textId="77777777" w:rsidR="000F6B0B" w:rsidRPr="001B4B42" w:rsidRDefault="000F6B0B" w:rsidP="00513A38">
      <w:pPr>
        <w:pStyle w:val="ListParagraph"/>
        <w:keepNext/>
        <w:keepLines/>
        <w:spacing w:after="120" w:line="240" w:lineRule="auto"/>
        <w:jc w:val="both"/>
        <w:rPr>
          <w:noProof/>
        </w:rPr>
      </w:pPr>
      <w:r w:rsidRPr="001B4B42">
        <w:rPr>
          <w:noProof/>
        </w:rPr>
        <w:t>Date: 06-10-2022</w:t>
      </w:r>
    </w:p>
    <w:p w14:paraId="0388883B" w14:textId="77777777" w:rsidR="000F6B0B" w:rsidRPr="001B4B42" w:rsidRDefault="000F6B0B" w:rsidP="00513A38">
      <w:pPr>
        <w:pStyle w:val="ListParagraph"/>
        <w:keepNext/>
        <w:keepLines/>
        <w:spacing w:after="120" w:line="240" w:lineRule="auto"/>
        <w:jc w:val="both"/>
        <w:rPr>
          <w:noProof/>
        </w:rPr>
      </w:pPr>
      <w:r w:rsidRPr="001B4B42">
        <w:rPr>
          <w:noProof/>
        </w:rPr>
        <w:t>Competence: Josep BORRELL FONTELLES</w:t>
      </w:r>
    </w:p>
    <w:p w14:paraId="27DEFB27" w14:textId="18B99302" w:rsidR="000F6B0B" w:rsidRPr="00A62EBA" w:rsidRDefault="000F6B0B" w:rsidP="001B4B42">
      <w:pPr>
        <w:keepNext/>
        <w:keepLines/>
        <w:spacing w:after="120" w:line="240" w:lineRule="auto"/>
        <w:ind w:left="720"/>
        <w:jc w:val="both"/>
        <w:rPr>
          <w:noProof/>
          <w:lang w:val="en-GB"/>
        </w:rPr>
      </w:pPr>
      <w:r w:rsidRPr="00A62EBA">
        <w:rPr>
          <w:noProof/>
          <w:lang w:val="en-GB"/>
        </w:rPr>
        <w:t xml:space="preserve">Reason: The Commission will not be responding formally to the requests addressed in the resolution as they were comprehensively addressed in plenary by </w:t>
      </w:r>
      <w:r w:rsidR="006F4DC1" w:rsidRPr="00A62EBA">
        <w:rPr>
          <w:noProof/>
          <w:lang w:val="en-GB"/>
        </w:rPr>
        <w:t>Commissioner Wojciechowski</w:t>
      </w:r>
      <w:r w:rsidRPr="00A62EBA">
        <w:rPr>
          <w:noProof/>
          <w:lang w:val="en-GB"/>
        </w:rPr>
        <w:t>, on behalf of the High Representative/Vice-President Borrell.</w:t>
      </w:r>
    </w:p>
    <w:p w14:paraId="684FCAC9" w14:textId="14265C1F" w:rsidR="000F6B0B" w:rsidRPr="000F6B0B" w:rsidRDefault="000F6B0B" w:rsidP="00513A38">
      <w:pPr>
        <w:pStyle w:val="ListParagraph"/>
        <w:widowControl w:val="0"/>
        <w:numPr>
          <w:ilvl w:val="0"/>
          <w:numId w:val="38"/>
        </w:numPr>
        <w:spacing w:after="120" w:line="240" w:lineRule="auto"/>
        <w:jc w:val="both"/>
        <w:rPr>
          <w:noProof/>
          <w:lang w:val="en-GB"/>
        </w:rPr>
      </w:pPr>
      <w:r w:rsidRPr="000F6B0B">
        <w:rPr>
          <w:noProof/>
          <w:lang w:val="en-GB"/>
        </w:rPr>
        <w:t>The death of Mahsa Amini and the repression of women's rights protesters in Iran (2022/2849 (RSP))</w:t>
      </w:r>
    </w:p>
    <w:p w14:paraId="58237874" w14:textId="77777777" w:rsidR="000F6B0B" w:rsidRPr="001B4B42" w:rsidRDefault="000F6B0B" w:rsidP="00513A38">
      <w:pPr>
        <w:pStyle w:val="ListParagraph"/>
        <w:widowControl w:val="0"/>
        <w:spacing w:after="120" w:line="240" w:lineRule="auto"/>
        <w:jc w:val="both"/>
        <w:rPr>
          <w:noProof/>
        </w:rPr>
      </w:pPr>
      <w:r w:rsidRPr="001B4B42">
        <w:rPr>
          <w:noProof/>
        </w:rPr>
        <w:t>EP: RC9-0434/2022</w:t>
      </w:r>
    </w:p>
    <w:p w14:paraId="63D0E882" w14:textId="77777777" w:rsidR="000F6B0B" w:rsidRPr="001B4B42" w:rsidRDefault="000F6B0B" w:rsidP="00513A38">
      <w:pPr>
        <w:pStyle w:val="ListParagraph"/>
        <w:widowControl w:val="0"/>
        <w:spacing w:after="120" w:line="240" w:lineRule="auto"/>
        <w:jc w:val="both"/>
        <w:rPr>
          <w:noProof/>
        </w:rPr>
      </w:pPr>
      <w:r w:rsidRPr="001B4B42">
        <w:rPr>
          <w:noProof/>
        </w:rPr>
        <w:t>Date: 06-10-2022</w:t>
      </w:r>
    </w:p>
    <w:p w14:paraId="6074B26B" w14:textId="77777777" w:rsidR="000F6B0B" w:rsidRPr="001B4B42" w:rsidRDefault="000F6B0B" w:rsidP="00513A38">
      <w:pPr>
        <w:pStyle w:val="ListParagraph"/>
        <w:widowControl w:val="0"/>
        <w:spacing w:after="120" w:line="240" w:lineRule="auto"/>
        <w:jc w:val="both"/>
        <w:rPr>
          <w:noProof/>
        </w:rPr>
      </w:pPr>
      <w:r w:rsidRPr="001B4B42">
        <w:rPr>
          <w:noProof/>
        </w:rPr>
        <w:t>Competence: Josep BORRELL FONTELLES</w:t>
      </w:r>
    </w:p>
    <w:p w14:paraId="77EDA1FD" w14:textId="0CE04A21" w:rsidR="000F6B0B" w:rsidRPr="00A62EBA" w:rsidRDefault="000F6B0B" w:rsidP="001B4B42">
      <w:pPr>
        <w:widowControl w:val="0"/>
        <w:spacing w:after="240" w:line="240" w:lineRule="auto"/>
        <w:ind w:left="720"/>
        <w:jc w:val="both"/>
        <w:rPr>
          <w:noProof/>
          <w:lang w:val="en-GB"/>
        </w:rPr>
      </w:pPr>
      <w:r w:rsidRPr="00A62EBA">
        <w:rPr>
          <w:noProof/>
          <w:lang w:val="en-GB"/>
        </w:rPr>
        <w:t>Reason: The Commission will not be responding formally to the requests addressed in the resolution as they were comprehensively addressed in plenary by High Representative/Vice-President Borrell.</w:t>
      </w:r>
    </w:p>
    <w:p w14:paraId="4021DEDF" w14:textId="13CB4EB3" w:rsidR="000F6B0B" w:rsidRPr="000F6B0B" w:rsidRDefault="000F6B0B" w:rsidP="006F4DC1">
      <w:pPr>
        <w:pStyle w:val="ListParagraph"/>
        <w:numPr>
          <w:ilvl w:val="0"/>
          <w:numId w:val="38"/>
        </w:numPr>
        <w:spacing w:after="120" w:line="240" w:lineRule="auto"/>
        <w:jc w:val="both"/>
        <w:rPr>
          <w:noProof/>
          <w:lang w:val="en-GB"/>
        </w:rPr>
      </w:pPr>
      <w:r w:rsidRPr="000F6B0B">
        <w:rPr>
          <w:noProof/>
          <w:lang w:val="en-GB"/>
        </w:rPr>
        <w:t>Russia’s escalation of its war of aggression against Ukraine (2022/2851 (RSP))</w:t>
      </w:r>
    </w:p>
    <w:p w14:paraId="6E6FE48E" w14:textId="77777777" w:rsidR="000F6B0B" w:rsidRPr="001B4B42" w:rsidRDefault="000F6B0B" w:rsidP="006F4DC1">
      <w:pPr>
        <w:pStyle w:val="ListParagraph"/>
        <w:spacing w:after="120" w:line="240" w:lineRule="auto"/>
        <w:jc w:val="both"/>
        <w:rPr>
          <w:noProof/>
        </w:rPr>
      </w:pPr>
      <w:r w:rsidRPr="001B4B42">
        <w:rPr>
          <w:noProof/>
        </w:rPr>
        <w:t>EP: RC9-0430/2022</w:t>
      </w:r>
    </w:p>
    <w:p w14:paraId="55A009BB" w14:textId="77777777" w:rsidR="000F6B0B" w:rsidRPr="001B4B42" w:rsidRDefault="000F6B0B" w:rsidP="006F4DC1">
      <w:pPr>
        <w:pStyle w:val="ListParagraph"/>
        <w:spacing w:after="120" w:line="240" w:lineRule="auto"/>
        <w:jc w:val="both"/>
        <w:rPr>
          <w:noProof/>
        </w:rPr>
      </w:pPr>
      <w:r w:rsidRPr="001B4B42">
        <w:rPr>
          <w:noProof/>
        </w:rPr>
        <w:t>Date: 06-10-2022</w:t>
      </w:r>
    </w:p>
    <w:p w14:paraId="77A2255E" w14:textId="77777777" w:rsidR="000F6B0B" w:rsidRPr="001B4B42" w:rsidRDefault="000F6B0B" w:rsidP="006F4DC1">
      <w:pPr>
        <w:pStyle w:val="ListParagraph"/>
        <w:spacing w:after="120" w:line="240" w:lineRule="auto"/>
        <w:jc w:val="both"/>
        <w:rPr>
          <w:noProof/>
        </w:rPr>
      </w:pPr>
      <w:r w:rsidRPr="001B4B42">
        <w:rPr>
          <w:noProof/>
        </w:rPr>
        <w:t>Competence: Josep BORRELL FONTELLES</w:t>
      </w:r>
    </w:p>
    <w:p w14:paraId="22809092" w14:textId="21FB90C8" w:rsidR="000F6B0B" w:rsidRPr="00A62EBA" w:rsidRDefault="000F6B0B" w:rsidP="001B4B42">
      <w:pPr>
        <w:spacing w:after="240" w:line="240" w:lineRule="auto"/>
        <w:ind w:left="720"/>
        <w:jc w:val="both"/>
        <w:rPr>
          <w:noProof/>
          <w:lang w:val="en-GB"/>
        </w:rPr>
      </w:pPr>
      <w:r w:rsidRPr="00A62EBA">
        <w:rPr>
          <w:noProof/>
          <w:lang w:val="en-GB"/>
        </w:rPr>
        <w:t xml:space="preserve">Reason: The Commission will not be responding formally to the requests addressed in the resolution as they were comprehensively addressed in plenary by High Representative/Vice-President Borrell and Ursula von der Leyen, President of the </w:t>
      </w:r>
      <w:r w:rsidR="00143E66" w:rsidRPr="00A62EBA">
        <w:rPr>
          <w:noProof/>
          <w:lang w:val="en-GB"/>
        </w:rPr>
        <w:t xml:space="preserve">European </w:t>
      </w:r>
      <w:r w:rsidRPr="00A62EBA">
        <w:rPr>
          <w:noProof/>
          <w:lang w:val="en-GB"/>
        </w:rPr>
        <w:t>Commission.</w:t>
      </w:r>
    </w:p>
    <w:p w14:paraId="4045DB50" w14:textId="4ECECDE4" w:rsidR="00A62EBA" w:rsidRPr="001B4B42" w:rsidRDefault="00A62EBA" w:rsidP="001B4B42">
      <w:pPr>
        <w:pStyle w:val="ListParagraph"/>
        <w:numPr>
          <w:ilvl w:val="0"/>
          <w:numId w:val="38"/>
        </w:numPr>
        <w:spacing w:line="240" w:lineRule="auto"/>
        <w:jc w:val="both"/>
        <w:rPr>
          <w:lang w:val="en-GB"/>
        </w:rPr>
      </w:pPr>
      <w:r w:rsidRPr="001B4B42">
        <w:rPr>
          <w:noProof/>
          <w:lang w:val="en-GB"/>
        </w:rPr>
        <w:t>The EU’s response to the increase in energy prices in Europe (2022/2830 (RSP))</w:t>
      </w:r>
    </w:p>
    <w:p w14:paraId="52FB600E" w14:textId="77777777" w:rsidR="00A62EBA" w:rsidRPr="00E71FB5" w:rsidRDefault="00A62EBA" w:rsidP="00A62EBA">
      <w:pPr>
        <w:widowControl w:val="0"/>
        <w:ind w:left="720"/>
        <w:rPr>
          <w:lang w:val="en-GB"/>
        </w:rPr>
      </w:pPr>
      <w:r w:rsidRPr="00E71FB5">
        <w:rPr>
          <w:lang w:val="en-GB"/>
        </w:rPr>
        <w:t xml:space="preserve">EP: </w:t>
      </w:r>
      <w:r w:rsidRPr="00E71FB5">
        <w:rPr>
          <w:noProof/>
          <w:lang w:val="en-GB"/>
        </w:rPr>
        <w:t>RC9-0416/2022</w:t>
      </w:r>
    </w:p>
    <w:p w14:paraId="10A0EAAE" w14:textId="77777777" w:rsidR="00A62EBA" w:rsidRPr="00E71FB5" w:rsidRDefault="00A62EBA" w:rsidP="00A62EBA">
      <w:pPr>
        <w:widowControl w:val="0"/>
        <w:ind w:left="720"/>
        <w:rPr>
          <w:lang w:val="en-GB"/>
        </w:rPr>
      </w:pPr>
      <w:r w:rsidRPr="00E71FB5">
        <w:rPr>
          <w:lang w:val="en-GB"/>
        </w:rPr>
        <w:t xml:space="preserve">Date: </w:t>
      </w:r>
      <w:r w:rsidRPr="00E71FB5">
        <w:rPr>
          <w:noProof/>
          <w:lang w:val="en-GB"/>
        </w:rPr>
        <w:t>05-10-2022</w:t>
      </w:r>
    </w:p>
    <w:p w14:paraId="0857D6C7" w14:textId="77777777" w:rsidR="00A62EBA" w:rsidRPr="00E71FB5" w:rsidRDefault="00A62EBA" w:rsidP="00E71FB5">
      <w:pPr>
        <w:widowControl w:val="0"/>
        <w:spacing w:after="120"/>
        <w:ind w:firstLine="720"/>
        <w:rPr>
          <w:lang w:val="en-GB"/>
        </w:rPr>
      </w:pPr>
      <w:r w:rsidRPr="00E71FB5">
        <w:rPr>
          <w:lang w:val="en-GB"/>
        </w:rPr>
        <w:t xml:space="preserve">Competence: </w:t>
      </w:r>
      <w:r w:rsidRPr="00E71FB5">
        <w:rPr>
          <w:noProof/>
          <w:lang w:val="en-GB"/>
        </w:rPr>
        <w:t>Kadri SIMSON, Frans TIMMERMANS</w:t>
      </w:r>
    </w:p>
    <w:p w14:paraId="44A5683A" w14:textId="4174EDC8" w:rsidR="00A62EBA" w:rsidRPr="00E71FB5" w:rsidRDefault="00E71FB5" w:rsidP="001B4B42">
      <w:pPr>
        <w:ind w:left="720"/>
        <w:jc w:val="both"/>
        <w:rPr>
          <w:noProof/>
          <w:szCs w:val="24"/>
          <w:lang w:val="en-GB"/>
        </w:rPr>
      </w:pPr>
      <w:r>
        <w:rPr>
          <w:noProof/>
          <w:lang w:val="en-GB"/>
        </w:rPr>
        <w:t>Reason:</w:t>
      </w:r>
      <w:r w:rsidRPr="00E71FB5">
        <w:rPr>
          <w:rFonts w:ascii="Calibri" w:hAnsi="Calibri" w:cs="Calibri"/>
          <w:color w:val="1F497D"/>
          <w:sz w:val="22"/>
          <w:szCs w:val="22"/>
          <w:lang w:val="en-GB" w:eastAsia="en-US"/>
        </w:rPr>
        <w:t xml:space="preserve"> </w:t>
      </w:r>
      <w:r w:rsidRPr="00A62EBA">
        <w:rPr>
          <w:noProof/>
          <w:lang w:val="en-GB"/>
        </w:rPr>
        <w:t>The Commission will not be responding formally to the requests addressed in the resolution</w:t>
      </w:r>
      <w:r>
        <w:rPr>
          <w:szCs w:val="24"/>
          <w:lang w:val="en-GB" w:eastAsia="en-US"/>
        </w:rPr>
        <w:t xml:space="preserve">. </w:t>
      </w:r>
      <w:r w:rsidRPr="00E71FB5">
        <w:rPr>
          <w:szCs w:val="24"/>
          <w:lang w:val="en-GB" w:eastAsia="en-US"/>
        </w:rPr>
        <w:t xml:space="preserve">In view of the topics addressed in </w:t>
      </w:r>
      <w:r>
        <w:rPr>
          <w:szCs w:val="24"/>
          <w:lang w:val="en-GB" w:eastAsia="en-US"/>
        </w:rPr>
        <w:t>it</w:t>
      </w:r>
      <w:r w:rsidRPr="00E71FB5">
        <w:rPr>
          <w:szCs w:val="24"/>
          <w:lang w:val="en-GB" w:eastAsia="en-US"/>
        </w:rPr>
        <w:t xml:space="preserve">, the Commission has intensively engaged in an open and transparent dialogue with the European Parliament. A debate on this topic took place in plenary on 13 September </w:t>
      </w:r>
      <w:bookmarkStart w:id="11" w:name="_GoBack"/>
      <w:bookmarkEnd w:id="11"/>
      <w:r w:rsidRPr="00E71FB5">
        <w:rPr>
          <w:szCs w:val="24"/>
          <w:lang w:val="en-GB" w:eastAsia="en-US"/>
        </w:rPr>
        <w:t>when Commissioner Simson gave a broad outline on the topics mentioned in the resolution. Commission President</w:t>
      </w:r>
      <w:r w:rsidR="001B4B42">
        <w:rPr>
          <w:szCs w:val="24"/>
          <w:lang w:val="en-GB" w:eastAsia="en-US"/>
        </w:rPr>
        <w:t> </w:t>
      </w:r>
      <w:r w:rsidRPr="00E71FB5">
        <w:rPr>
          <w:szCs w:val="24"/>
          <w:lang w:val="en-GB" w:eastAsia="en-US"/>
        </w:rPr>
        <w:t>von</w:t>
      </w:r>
      <w:r w:rsidR="001B4B42">
        <w:rPr>
          <w:szCs w:val="24"/>
          <w:lang w:val="en-GB" w:eastAsia="en-US"/>
        </w:rPr>
        <w:t> </w:t>
      </w:r>
      <w:r w:rsidRPr="00E71FB5">
        <w:rPr>
          <w:szCs w:val="24"/>
          <w:lang w:val="en-GB" w:eastAsia="en-US"/>
        </w:rPr>
        <w:t xml:space="preserve">der Leyen gave more details just a day later in the State of the Union address, where energy featured prominently in her speech. On 4 October, Commissioner Simson addressed again the ITRE committee on the points mentioned in the resolution. Meanwhile, President von der Leyen gave another outline on topics of the resolution in her speech in plenary on 5 October. On 18 October, the Commission adopted a communication and a legislative proposal addressing the issues mentioned in the resolution. The topics </w:t>
      </w:r>
      <w:r>
        <w:rPr>
          <w:szCs w:val="24"/>
          <w:lang w:val="en-GB" w:eastAsia="en-US"/>
        </w:rPr>
        <w:t>were</w:t>
      </w:r>
      <w:r w:rsidRPr="00E71FB5">
        <w:rPr>
          <w:szCs w:val="24"/>
          <w:lang w:val="en-GB" w:eastAsia="en-US"/>
        </w:rPr>
        <w:t xml:space="preserve"> again part of a plenary debate on 1</w:t>
      </w:r>
      <w:r>
        <w:rPr>
          <w:szCs w:val="24"/>
          <w:lang w:val="en-GB" w:eastAsia="en-US"/>
        </w:rPr>
        <w:t>9</w:t>
      </w:r>
      <w:r w:rsidR="001B4B42">
        <w:rPr>
          <w:szCs w:val="24"/>
          <w:lang w:val="en-GB" w:eastAsia="en-US"/>
        </w:rPr>
        <w:t> </w:t>
      </w:r>
      <w:r>
        <w:rPr>
          <w:szCs w:val="24"/>
          <w:lang w:val="en-GB" w:eastAsia="en-US"/>
        </w:rPr>
        <w:t>October, when the Commission was</w:t>
      </w:r>
      <w:r w:rsidRPr="00E71FB5">
        <w:rPr>
          <w:szCs w:val="24"/>
          <w:lang w:val="en-GB" w:eastAsia="en-US"/>
        </w:rPr>
        <w:t xml:space="preserve"> asked to give on overview on the preparation of the E</w:t>
      </w:r>
      <w:r w:rsidR="006E62CB">
        <w:rPr>
          <w:szCs w:val="24"/>
          <w:lang w:val="en-GB" w:eastAsia="en-US"/>
        </w:rPr>
        <w:t>uropean Council</w:t>
      </w:r>
      <w:r w:rsidRPr="00E71FB5">
        <w:rPr>
          <w:szCs w:val="24"/>
          <w:lang w:val="en-GB" w:eastAsia="en-US"/>
        </w:rPr>
        <w:t xml:space="preserve"> on 20</w:t>
      </w:r>
      <w:r w:rsidR="006E62CB">
        <w:rPr>
          <w:szCs w:val="24"/>
          <w:lang w:val="en-GB" w:eastAsia="en-US"/>
        </w:rPr>
        <w:t xml:space="preserve"> and </w:t>
      </w:r>
      <w:r w:rsidRPr="00E71FB5">
        <w:rPr>
          <w:szCs w:val="24"/>
          <w:lang w:val="en-GB" w:eastAsia="en-US"/>
        </w:rPr>
        <w:t>21 October</w:t>
      </w:r>
      <w:r w:rsidRPr="00947C7C">
        <w:rPr>
          <w:szCs w:val="24"/>
          <w:lang w:val="en-GB" w:eastAsia="en-US"/>
        </w:rPr>
        <w:t>. Commissioner Simson addressed the ITRE committee again on 26 October on the topics.</w:t>
      </w:r>
    </w:p>
    <w:p w14:paraId="2F75D32F" w14:textId="77777777" w:rsidR="00E407EF" w:rsidRPr="00E71FB5" w:rsidRDefault="00E407EF">
      <w:pPr>
        <w:ind w:left="720"/>
        <w:jc w:val="both"/>
        <w:rPr>
          <w:noProof/>
          <w:szCs w:val="24"/>
          <w:lang w:val="en-GB"/>
        </w:rPr>
      </w:pPr>
    </w:p>
    <w:sectPr w:rsidR="00E407EF" w:rsidRPr="00E71FB5"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278BAAD0" w:rsidR="00EC7926" w:rsidRDefault="00EC7926">
        <w:pPr>
          <w:pStyle w:val="Footer"/>
          <w:jc w:val="center"/>
        </w:pPr>
        <w:r>
          <w:fldChar w:fldCharType="begin"/>
        </w:r>
        <w:r>
          <w:instrText xml:space="preserve"> PAGE   \* MERGEFORMAT </w:instrText>
        </w:r>
        <w:r>
          <w:fldChar w:fldCharType="separate"/>
        </w:r>
        <w:r w:rsidR="00E407EF">
          <w:rPr>
            <w:noProof/>
          </w:rPr>
          <w:t>16</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53E37218" w:rsidR="00EC7926" w:rsidRPr="00D27B10" w:rsidRDefault="00E407EF"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 w:id="1">
    <w:p w14:paraId="7938C9DB" w14:textId="797B0D22" w:rsidR="002D43F9" w:rsidRPr="00AE244D" w:rsidRDefault="002D43F9" w:rsidP="002D43F9">
      <w:pPr>
        <w:pStyle w:val="FootnoteText"/>
        <w:spacing w:after="0"/>
        <w:rPr>
          <w:i/>
        </w:rPr>
      </w:pPr>
      <w:r w:rsidRPr="00AE244D">
        <w:rPr>
          <w:rStyle w:val="FootnoteReference"/>
          <w:i/>
        </w:rPr>
        <w:sym w:font="Symbol" w:char="F02B"/>
      </w:r>
      <w:r>
        <w:rPr>
          <w:i/>
        </w:rPr>
        <w:tab/>
      </w:r>
      <w:r w:rsidRPr="00AE244D">
        <w:rPr>
          <w:i/>
        </w:rPr>
        <w:t xml:space="preserve"> OJ: Please insert in the text the number of the Regulation in the document COD(2021)0020.</w:t>
      </w:r>
    </w:p>
  </w:footnote>
  <w:footnote w:id="2">
    <w:p w14:paraId="12A4DC4F" w14:textId="16A0BC22" w:rsidR="002D43F9" w:rsidRPr="00AE244D" w:rsidRDefault="002D43F9" w:rsidP="002D43F9">
      <w:pPr>
        <w:pStyle w:val="FootnoteText"/>
        <w:spacing w:after="0"/>
      </w:pPr>
      <w:r w:rsidRPr="00AE244D">
        <w:rPr>
          <w:rStyle w:val="FootnoteReference"/>
        </w:rPr>
        <w:footnoteRef/>
      </w:r>
      <w:r w:rsidRPr="00AE244D">
        <w:t xml:space="preserve"> </w:t>
      </w:r>
      <w:r>
        <w:tab/>
      </w:r>
      <w:r w:rsidRPr="00AE244D">
        <w:t>Regulation (EU) .../... of the European Parliament and of the Council of ... on statistics on agricultural input and output, amending Regulation (EC) No 617/2008 and repealing Regulations (EC) No 1165/2008, (EC) No 543/2009 and (EC) No 1185/2009 and Council Directive 96/16/EC (OJ L ...).</w:t>
      </w:r>
    </w:p>
  </w:footnote>
  <w:footnote w:id="3">
    <w:p w14:paraId="59A47F04" w14:textId="11B6272C" w:rsidR="002D43F9" w:rsidRPr="00AE244D" w:rsidRDefault="002D43F9" w:rsidP="002D43F9">
      <w:pPr>
        <w:pStyle w:val="FootnoteText"/>
        <w:spacing w:after="0"/>
        <w:ind w:left="0" w:firstLine="357"/>
        <w:rPr>
          <w:i/>
        </w:rPr>
      </w:pPr>
      <w:r w:rsidRPr="00AE244D">
        <w:rPr>
          <w:rStyle w:val="FootnoteReference"/>
          <w:i/>
        </w:rPr>
        <w:sym w:font="Symbol" w:char="F02B"/>
      </w:r>
      <w:r w:rsidRPr="00AE244D">
        <w:rPr>
          <w:rStyle w:val="FootnoteReference"/>
          <w:i/>
        </w:rPr>
        <w:sym w:font="Symbol" w:char="F02B"/>
      </w:r>
      <w:r>
        <w:rPr>
          <w:i/>
        </w:rPr>
        <w:tab/>
      </w:r>
      <w:r w:rsidRPr="00AE244D">
        <w:rPr>
          <w:i/>
        </w:rPr>
        <w:t xml:space="preserve"> OJ: Please insert in the text the number, and in the footnote the number, the date and the OJ publication reference of the Regulation in the document COD(2021)0020.</w:t>
      </w:r>
    </w:p>
  </w:footnote>
  <w:footnote w:id="4">
    <w:p w14:paraId="16A99EC3" w14:textId="3869CDC1" w:rsidR="002D43F9" w:rsidRPr="00747D3C" w:rsidRDefault="002D43F9" w:rsidP="002D43F9">
      <w:pPr>
        <w:pStyle w:val="FootnoteText"/>
        <w:spacing w:after="0"/>
        <w:ind w:left="0" w:firstLine="0"/>
      </w:pPr>
      <w:r w:rsidRPr="00AE244D">
        <w:rPr>
          <w:rStyle w:val="FootnoteReference"/>
        </w:rPr>
        <w:footnoteRef/>
      </w:r>
      <w:r w:rsidRPr="00AE244D">
        <w:t xml:space="preserve"> </w:t>
      </w:r>
      <w:r>
        <w:tab/>
      </w:r>
      <w:r w:rsidRPr="00AE244D">
        <w:t>Regulation (EC) No 1107/2009 of the European Parliament and of the Council of 21 October 2009 concerning the placing of plant protection products on the market and repealing Council Directives 79/117/EEC and 91/414/EEC (OJ L 309, 24.11.2009, p. 1).</w:t>
      </w:r>
    </w:p>
  </w:footnote>
  <w:footnote w:id="5">
    <w:p w14:paraId="043C5E4F" w14:textId="77777777" w:rsidR="002D43F9" w:rsidRPr="00747D3C" w:rsidRDefault="002D43F9" w:rsidP="002D43F9">
      <w:pPr>
        <w:pStyle w:val="FootnoteText"/>
        <w:ind w:left="-284" w:hanging="73"/>
      </w:pPr>
      <w:r w:rsidRPr="00747D3C">
        <w:rPr>
          <w:rStyle w:val="FootnoteReference"/>
        </w:rPr>
        <w:footnoteRef/>
      </w:r>
      <w:r w:rsidRPr="00747D3C">
        <w:t xml:space="preserve"> 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1B4B42"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E407EF"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E407EF"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E407EF"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E407EF"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2874569"/>
    <w:multiLevelType w:val="hybridMultilevel"/>
    <w:tmpl w:val="28E2DAA0"/>
    <w:lvl w:ilvl="0" w:tplc="184A3B2A">
      <w:start w:val="1"/>
      <w:numFmt w:val="decimal"/>
      <w:lvlText w:val="%1."/>
      <w:lvlJc w:val="left"/>
      <w:pPr>
        <w:ind w:left="720" w:hanging="360"/>
      </w:pPr>
      <w:rPr>
        <w:color w:val="1F497D"/>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2"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6C525E28"/>
    <w:multiLevelType w:val="hybridMultilevel"/>
    <w:tmpl w:val="887A3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35"/>
  </w:num>
  <w:num w:numId="5">
    <w:abstractNumId w:val="29"/>
  </w:num>
  <w:num w:numId="6">
    <w:abstractNumId w:val="14"/>
  </w:num>
  <w:num w:numId="7">
    <w:abstractNumId w:val="33"/>
  </w:num>
  <w:num w:numId="8">
    <w:abstractNumId w:val="25"/>
  </w:num>
  <w:num w:numId="9">
    <w:abstractNumId w:val="12"/>
  </w:num>
  <w:num w:numId="10">
    <w:abstractNumId w:val="6"/>
  </w:num>
  <w:num w:numId="11">
    <w:abstractNumId w:val="34"/>
  </w:num>
  <w:num w:numId="12">
    <w:abstractNumId w:val="7"/>
  </w:num>
  <w:num w:numId="13">
    <w:abstractNumId w:val="23"/>
  </w:num>
  <w:num w:numId="14">
    <w:abstractNumId w:val="31"/>
  </w:num>
  <w:num w:numId="15">
    <w:abstractNumId w:val="17"/>
  </w:num>
  <w:num w:numId="16">
    <w:abstractNumId w:val="1"/>
  </w:num>
  <w:num w:numId="17">
    <w:abstractNumId w:val="24"/>
  </w:num>
  <w:num w:numId="18">
    <w:abstractNumId w:val="22"/>
  </w:num>
  <w:num w:numId="19">
    <w:abstractNumId w:val="36"/>
  </w:num>
  <w:num w:numId="20">
    <w:abstractNumId w:val="3"/>
  </w:num>
  <w:num w:numId="21">
    <w:abstractNumId w:val="38"/>
  </w:num>
  <w:num w:numId="22">
    <w:abstractNumId w:val="9"/>
  </w:num>
  <w:num w:numId="23">
    <w:abstractNumId w:val="0"/>
  </w:num>
  <w:num w:numId="24">
    <w:abstractNumId w:val="19"/>
  </w:num>
  <w:num w:numId="25">
    <w:abstractNumId w:val="10"/>
  </w:num>
  <w:num w:numId="26">
    <w:abstractNumId w:val="20"/>
  </w:num>
  <w:num w:numId="27">
    <w:abstractNumId w:val="28"/>
  </w:num>
  <w:num w:numId="28">
    <w:abstractNumId w:val="41"/>
  </w:num>
  <w:num w:numId="29">
    <w:abstractNumId w:val="32"/>
  </w:num>
  <w:num w:numId="30">
    <w:abstractNumId w:val="27"/>
  </w:num>
  <w:num w:numId="31">
    <w:abstractNumId w:val="40"/>
  </w:num>
  <w:num w:numId="32">
    <w:abstractNumId w:val="21"/>
  </w:num>
  <w:num w:numId="33">
    <w:abstractNumId w:val="16"/>
  </w:num>
  <w:num w:numId="34">
    <w:abstractNumId w:val="18"/>
  </w:num>
  <w:num w:numId="35">
    <w:abstractNumId w:val="39"/>
  </w:num>
  <w:num w:numId="36">
    <w:abstractNumId w:val="26"/>
  </w:num>
  <w:num w:numId="37">
    <w:abstractNumId w:val="11"/>
  </w:num>
  <w:num w:numId="38">
    <w:abstractNumId w:val="37"/>
  </w:num>
  <w:num w:numId="39">
    <w:abstractNumId w:val="4"/>
  </w:num>
  <w:num w:numId="40">
    <w:abstractNumId w:val="2"/>
  </w:num>
  <w:num w:numId="41">
    <w:abstractNumId w:val="13"/>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7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855"/>
    <w:rsid w:val="00045BF0"/>
    <w:rsid w:val="00046224"/>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87E"/>
    <w:rsid w:val="00093F2C"/>
    <w:rsid w:val="000953C9"/>
    <w:rsid w:val="000957C1"/>
    <w:rsid w:val="00096F3B"/>
    <w:rsid w:val="000A0207"/>
    <w:rsid w:val="000A0E88"/>
    <w:rsid w:val="000A2685"/>
    <w:rsid w:val="000A4A12"/>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9CD"/>
    <w:rsid w:val="000D65C2"/>
    <w:rsid w:val="000D6C11"/>
    <w:rsid w:val="000D70B9"/>
    <w:rsid w:val="000E012B"/>
    <w:rsid w:val="000E165B"/>
    <w:rsid w:val="000E575F"/>
    <w:rsid w:val="000E6BA2"/>
    <w:rsid w:val="000E79A3"/>
    <w:rsid w:val="000E7C0B"/>
    <w:rsid w:val="000F2102"/>
    <w:rsid w:val="000F2A1E"/>
    <w:rsid w:val="000F4894"/>
    <w:rsid w:val="000F67B9"/>
    <w:rsid w:val="000F6B0B"/>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3E66"/>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1799"/>
    <w:rsid w:val="001B3239"/>
    <w:rsid w:val="001B3562"/>
    <w:rsid w:val="001B3CFA"/>
    <w:rsid w:val="001B4B42"/>
    <w:rsid w:val="001B4F99"/>
    <w:rsid w:val="001B50B4"/>
    <w:rsid w:val="001B6C58"/>
    <w:rsid w:val="001C0E24"/>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42A0"/>
    <w:rsid w:val="002C4D1F"/>
    <w:rsid w:val="002C61F4"/>
    <w:rsid w:val="002D1F6A"/>
    <w:rsid w:val="002D2B8E"/>
    <w:rsid w:val="002D43F9"/>
    <w:rsid w:val="002D5EF2"/>
    <w:rsid w:val="002E6296"/>
    <w:rsid w:val="002E777F"/>
    <w:rsid w:val="002E7F0A"/>
    <w:rsid w:val="002F2144"/>
    <w:rsid w:val="002F35B1"/>
    <w:rsid w:val="002F3C4F"/>
    <w:rsid w:val="002F7976"/>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416"/>
    <w:rsid w:val="004D053D"/>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3A38"/>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B0232"/>
    <w:rsid w:val="005B1FC7"/>
    <w:rsid w:val="005B67C4"/>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C11"/>
    <w:rsid w:val="006A1DAC"/>
    <w:rsid w:val="006A328C"/>
    <w:rsid w:val="006A50B7"/>
    <w:rsid w:val="006A5DB0"/>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24B9"/>
    <w:rsid w:val="006F370B"/>
    <w:rsid w:val="006F4014"/>
    <w:rsid w:val="006F46BC"/>
    <w:rsid w:val="006F4DC1"/>
    <w:rsid w:val="006F6BA8"/>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23AB"/>
    <w:rsid w:val="007D26A4"/>
    <w:rsid w:val="007D33AD"/>
    <w:rsid w:val="007D5A06"/>
    <w:rsid w:val="007D5FC6"/>
    <w:rsid w:val="007D6810"/>
    <w:rsid w:val="007D7538"/>
    <w:rsid w:val="007E3EEE"/>
    <w:rsid w:val="007E4CC3"/>
    <w:rsid w:val="007E53A6"/>
    <w:rsid w:val="007E5C0E"/>
    <w:rsid w:val="007E649E"/>
    <w:rsid w:val="007F0743"/>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95B"/>
    <w:rsid w:val="00843141"/>
    <w:rsid w:val="0084581D"/>
    <w:rsid w:val="00847366"/>
    <w:rsid w:val="00850630"/>
    <w:rsid w:val="0085309F"/>
    <w:rsid w:val="00853203"/>
    <w:rsid w:val="0085402F"/>
    <w:rsid w:val="0086008F"/>
    <w:rsid w:val="008600BB"/>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14C6"/>
    <w:rsid w:val="008E29E4"/>
    <w:rsid w:val="008E4B5B"/>
    <w:rsid w:val="008E5CDC"/>
    <w:rsid w:val="008E75F7"/>
    <w:rsid w:val="008F2389"/>
    <w:rsid w:val="008F503E"/>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07F"/>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2EBA"/>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2A3F"/>
    <w:rsid w:val="00AB3592"/>
    <w:rsid w:val="00AB4AC9"/>
    <w:rsid w:val="00AB5DD7"/>
    <w:rsid w:val="00AB67E8"/>
    <w:rsid w:val="00AC06F0"/>
    <w:rsid w:val="00AC4DEB"/>
    <w:rsid w:val="00AC5B49"/>
    <w:rsid w:val="00AC67B4"/>
    <w:rsid w:val="00AD1882"/>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45E8"/>
    <w:rsid w:val="00B76C33"/>
    <w:rsid w:val="00B80423"/>
    <w:rsid w:val="00B8270E"/>
    <w:rsid w:val="00B82CF0"/>
    <w:rsid w:val="00B82F50"/>
    <w:rsid w:val="00B83DCA"/>
    <w:rsid w:val="00B8474F"/>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83964"/>
    <w:rsid w:val="00C83C52"/>
    <w:rsid w:val="00C84FD2"/>
    <w:rsid w:val="00C851EC"/>
    <w:rsid w:val="00C85D7E"/>
    <w:rsid w:val="00C862BF"/>
    <w:rsid w:val="00C91F35"/>
    <w:rsid w:val="00C94D87"/>
    <w:rsid w:val="00C95346"/>
    <w:rsid w:val="00C976E1"/>
    <w:rsid w:val="00CA4086"/>
    <w:rsid w:val="00CA7167"/>
    <w:rsid w:val="00CB0BA7"/>
    <w:rsid w:val="00CB1814"/>
    <w:rsid w:val="00CB273A"/>
    <w:rsid w:val="00CB58EE"/>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7B10"/>
    <w:rsid w:val="00D27F29"/>
    <w:rsid w:val="00D30F76"/>
    <w:rsid w:val="00D3155B"/>
    <w:rsid w:val="00D4062E"/>
    <w:rsid w:val="00D412CD"/>
    <w:rsid w:val="00D41357"/>
    <w:rsid w:val="00D42DEF"/>
    <w:rsid w:val="00D44AA8"/>
    <w:rsid w:val="00D452EC"/>
    <w:rsid w:val="00D474D7"/>
    <w:rsid w:val="00D5056B"/>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D6C54"/>
    <w:rsid w:val="00DD7738"/>
    <w:rsid w:val="00DE696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07E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1FB5"/>
    <w:rsid w:val="00E72767"/>
    <w:rsid w:val="00E74759"/>
    <w:rsid w:val="00E74D19"/>
    <w:rsid w:val="00E75009"/>
    <w:rsid w:val="00E751AF"/>
    <w:rsid w:val="00E752BB"/>
    <w:rsid w:val="00E77CCF"/>
    <w:rsid w:val="00E83411"/>
    <w:rsid w:val="00E86496"/>
    <w:rsid w:val="00E86601"/>
    <w:rsid w:val="00E87F48"/>
    <w:rsid w:val="00E87FDC"/>
    <w:rsid w:val="00E906A2"/>
    <w:rsid w:val="00E92759"/>
    <w:rsid w:val="00E93D63"/>
    <w:rsid w:val="00E93FD7"/>
    <w:rsid w:val="00E9468E"/>
    <w:rsid w:val="00EA022C"/>
    <w:rsid w:val="00EA38F2"/>
    <w:rsid w:val="00EA4E89"/>
    <w:rsid w:val="00EB4348"/>
    <w:rsid w:val="00EB6068"/>
    <w:rsid w:val="00EC067C"/>
    <w:rsid w:val="00EC0D39"/>
    <w:rsid w:val="00EC1EB9"/>
    <w:rsid w:val="00EC24E6"/>
    <w:rsid w:val="00EC4D4A"/>
    <w:rsid w:val="00EC6781"/>
    <w:rsid w:val="00EC7926"/>
    <w:rsid w:val="00ED14E9"/>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11F70"/>
    <w:rsid w:val="00F1270E"/>
    <w:rsid w:val="00F1364A"/>
    <w:rsid w:val="00F14F20"/>
    <w:rsid w:val="00F15B4C"/>
    <w:rsid w:val="00F249BF"/>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3384"/>
    <w:rsid w:val="00FE46FF"/>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3793"/>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1"/>
      </w:numPr>
      <w:spacing w:after="240" w:line="360" w:lineRule="auto"/>
    </w:pPr>
    <w:rPr>
      <w:lang w:val="en-GB" w:eastAsia="fr-BE"/>
    </w:rPr>
  </w:style>
  <w:style w:type="paragraph" w:customStyle="1" w:styleId="LegalNumPar2">
    <w:name w:val="LegalNumPar2"/>
    <w:basedOn w:val="Normal"/>
    <w:rsid w:val="00A62EBA"/>
    <w:pPr>
      <w:numPr>
        <w:ilvl w:val="1"/>
        <w:numId w:val="41"/>
      </w:numPr>
      <w:spacing w:after="240" w:line="360" w:lineRule="auto"/>
    </w:pPr>
    <w:rPr>
      <w:lang w:val="en-GB" w:eastAsia="fr-BE"/>
    </w:rPr>
  </w:style>
  <w:style w:type="paragraph" w:customStyle="1" w:styleId="LegalNumPar">
    <w:name w:val="LegalNumPar"/>
    <w:basedOn w:val="Normal"/>
    <w:uiPriority w:val="90"/>
    <w:qFormat/>
    <w:rsid w:val="00A62EBA"/>
    <w:pPr>
      <w:numPr>
        <w:numId w:val="41"/>
      </w:numPr>
      <w:spacing w:after="240" w:line="360" w:lineRule="auto"/>
    </w:pPr>
    <w:rPr>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E44D-82CA-4361-8E0B-D29B3BB1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2781</Words>
  <Characters>15968</Characters>
  <Application>Microsoft Office Word</Application>
  <DocSecurity>0</DocSecurity>
  <Lines>319</Lines>
  <Paragraphs>172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BIANCHIN Raffaella (SG)</cp:lastModifiedBy>
  <cp:revision>5</cp:revision>
  <cp:lastPrinted>2019-01-09T14:37:00Z</cp:lastPrinted>
  <dcterms:created xsi:type="dcterms:W3CDTF">2022-11-02T16:21:00Z</dcterms:created>
  <dcterms:modified xsi:type="dcterms:W3CDTF">2022-11-07T08:32:00Z</dcterms:modified>
</cp:coreProperties>
</file>